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5F47" w:rsidRDefault="00B666DF">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p>
    <w:p w:rsidR="00795F47" w:rsidRDefault="00B666DF">
      <w:pPr>
        <w:rPr>
          <w:rFonts w:ascii="Arial" w:eastAsia="Arial" w:hAnsi="Arial"/>
          <w:b/>
          <w:sz w:val="24"/>
          <w:szCs w:val="24"/>
        </w:rPr>
      </w:pPr>
      <w:r>
        <w:rPr>
          <w:rFonts w:ascii="Arial" w:eastAsia="Arial" w:hAnsi="Arial"/>
          <w:sz w:val="24"/>
          <w:szCs w:val="24"/>
          <w:highlight w:val="yellow"/>
        </w:rPr>
        <w:t>[</w:t>
      </w:r>
      <w:r>
        <w:rPr>
          <w:rFonts w:ascii="Arial" w:eastAsia="Arial" w:hAnsi="Arial"/>
          <w:b/>
          <w:sz w:val="24"/>
          <w:szCs w:val="24"/>
          <w:highlight w:val="yellow"/>
        </w:rPr>
        <w:t>Guidance note: Buyers will need to take their own legal advice on this Schedule 2 and, in particular, on Part D (Pensions).</w:t>
      </w:r>
      <w:r>
        <w:rPr>
          <w:rFonts w:ascii="Arial" w:eastAsia="Arial" w:hAnsi="Arial"/>
          <w:b/>
          <w:sz w:val="24"/>
          <w:szCs w:val="24"/>
        </w:rPr>
        <w:t xml:space="preserve"> </w:t>
      </w:r>
    </w:p>
    <w:p w:rsidR="00795F47" w:rsidRDefault="00B666DF">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795F47" w:rsidRDefault="00B666DF">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rsidR="00795F47" w:rsidRDefault="00B666DF">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rsidR="00795F47" w:rsidRDefault="00B666DF">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rsidR="00795F47" w:rsidRDefault="00B666DF">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795F47" w:rsidRDefault="00B666DF">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rsidR="00795F47" w:rsidRDefault="00B666DF">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rsidR="00795F47" w:rsidRDefault="00B666DF">
      <w:pPr>
        <w:rPr>
          <w:rFonts w:ascii="Arial" w:eastAsia="Arial" w:hAnsi="Arial"/>
          <w:sz w:val="24"/>
          <w:szCs w:val="24"/>
        </w:rPr>
      </w:pPr>
      <w:r>
        <w:rPr>
          <w:rFonts w:ascii="Arial" w:eastAsia="Arial" w:hAnsi="Arial"/>
          <w:sz w:val="24"/>
          <w:szCs w:val="24"/>
        </w:rPr>
        <w:t>Part E (dealing with staff transfer on exit) shall apply to every Contract.</w:t>
      </w:r>
    </w:p>
    <w:p w:rsidR="00795F47" w:rsidRDefault="00B666DF">
      <w:pPr>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rsidR="00795F47" w:rsidRDefault="00795F47">
      <w:pPr>
        <w:keepNext/>
        <w:pBdr>
          <w:top w:val="nil"/>
          <w:left w:val="nil"/>
          <w:bottom w:val="nil"/>
          <w:right w:val="nil"/>
          <w:between w:val="nil"/>
        </w:pBdr>
        <w:rPr>
          <w:rFonts w:ascii="Arial" w:eastAsia="Arial" w:hAnsi="Arial"/>
          <w:b/>
          <w:smallCaps/>
          <w:color w:val="000000"/>
          <w:sz w:val="24"/>
          <w:szCs w:val="24"/>
        </w:rPr>
      </w:pPr>
    </w:p>
    <w:p w:rsidR="00795F47" w:rsidRDefault="00B666DF">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795F47" w:rsidRDefault="00B666DF">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4"/>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795F47">
        <w:tc>
          <w:tcPr>
            <w:tcW w:w="2917" w:type="dxa"/>
          </w:tcPr>
          <w:p w:rsidR="00795F47" w:rsidRDefault="00B666DF">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 xml:space="preserve">“Acquired Rights Directive” </w:t>
            </w:r>
          </w:p>
          <w:p w:rsidR="00795F47" w:rsidRDefault="00795F47">
            <w:pPr>
              <w:pBdr>
                <w:top w:val="nil"/>
                <w:left w:val="nil"/>
                <w:bottom w:val="nil"/>
                <w:right w:val="nil"/>
                <w:between w:val="nil"/>
              </w:pBdr>
              <w:rPr>
                <w:rFonts w:ascii="Arial" w:eastAsia="Arial" w:hAnsi="Arial"/>
                <w:sz w:val="24"/>
                <w:szCs w:val="24"/>
              </w:rPr>
            </w:pPr>
          </w:p>
          <w:p w:rsidR="00795F47" w:rsidRDefault="00795F47">
            <w:pPr>
              <w:pBdr>
                <w:top w:val="nil"/>
                <w:left w:val="nil"/>
                <w:bottom w:val="nil"/>
                <w:right w:val="nil"/>
                <w:between w:val="nil"/>
              </w:pBdr>
              <w:rPr>
                <w:rFonts w:ascii="Arial" w:eastAsia="Arial" w:hAnsi="Arial"/>
                <w:sz w:val="24"/>
                <w:szCs w:val="24"/>
              </w:rPr>
            </w:pPr>
          </w:p>
        </w:tc>
        <w:tc>
          <w:tcPr>
            <w:tcW w:w="6109" w:type="dxa"/>
          </w:tcPr>
          <w:p w:rsidR="00795F47" w:rsidRDefault="00B666DF">
            <w:pPr>
              <w:numPr>
                <w:ilvl w:val="0"/>
                <w:numId w:val="6"/>
              </w:numPr>
              <w:tabs>
                <w:tab w:val="left" w:pos="-179"/>
                <w:tab w:val="left" w:pos="-9"/>
              </w:tabs>
              <w:spacing w:after="120"/>
              <w:rPr>
                <w:rFonts w:ascii="Arial" w:eastAsia="Arial" w:hAnsi="Arial"/>
                <w:sz w:val="24"/>
                <w:szCs w:val="24"/>
              </w:rPr>
            </w:pPr>
            <w:r>
              <w:rPr>
                <w:rFonts w:ascii="Arial" w:eastAsia="Arial" w:hAnsi="Arial"/>
                <w:sz w:val="24"/>
                <w:szCs w:val="24"/>
              </w:rPr>
              <w:t xml:space="preserve">the  European  Council  Directive 77/187/EEC  on the approximation of laws of European member states relating to the safeguarding of employees’ rights in the event of transfers of undertakings, businesses or parts </w:t>
            </w:r>
            <w:r>
              <w:rPr>
                <w:rFonts w:ascii="Arial" w:eastAsia="Arial" w:hAnsi="Arial"/>
                <w:sz w:val="24"/>
                <w:szCs w:val="24"/>
              </w:rPr>
              <w:lastRenderedPageBreak/>
              <w:t>of undertakings or businesses, as amended or re-enacted from time to time;</w:t>
            </w:r>
          </w:p>
          <w:p w:rsidR="00795F47" w:rsidRDefault="00795F47">
            <w:pPr>
              <w:numPr>
                <w:ilvl w:val="0"/>
                <w:numId w:val="6"/>
              </w:numPr>
              <w:tabs>
                <w:tab w:val="left" w:pos="-179"/>
                <w:tab w:val="left" w:pos="-9"/>
              </w:tabs>
              <w:spacing w:after="120"/>
              <w:rPr>
                <w:rFonts w:ascii="Arial" w:eastAsia="Arial" w:hAnsi="Arial"/>
                <w:sz w:val="24"/>
                <w:szCs w:val="24"/>
              </w:rPr>
            </w:pPr>
          </w:p>
        </w:tc>
      </w:tr>
      <w:tr w:rsidR="00795F47">
        <w:tc>
          <w:tcPr>
            <w:tcW w:w="2917" w:type="dxa"/>
          </w:tcPr>
          <w:p w:rsidR="00795F47" w:rsidRDefault="00B666DF">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lastRenderedPageBreak/>
              <w:t>"Employee Liability"</w:t>
            </w:r>
          </w:p>
        </w:tc>
        <w:tc>
          <w:tcPr>
            <w:tcW w:w="6109" w:type="dxa"/>
          </w:tcPr>
          <w:p w:rsidR="00795F47" w:rsidRDefault="00B666DF">
            <w:pPr>
              <w:numPr>
                <w:ilvl w:val="0"/>
                <w:numId w:val="6"/>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795F47" w:rsidRDefault="00B666DF">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redundancy payments including contractual or enhanced redundancy costs, termination costs and notice payments; </w:t>
            </w:r>
          </w:p>
        </w:tc>
      </w:tr>
      <w:tr w:rsidR="00795F47">
        <w:tc>
          <w:tcPr>
            <w:tcW w:w="2917" w:type="dxa"/>
          </w:tcPr>
          <w:p w:rsidR="00795F47" w:rsidRDefault="00795F47">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795F47" w:rsidRDefault="00B666DF">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unfair, wrongful or constructive dismissal compensation;</w:t>
            </w:r>
          </w:p>
        </w:tc>
      </w:tr>
      <w:tr w:rsidR="00795F47">
        <w:tc>
          <w:tcPr>
            <w:tcW w:w="2917" w:type="dxa"/>
          </w:tcPr>
          <w:p w:rsidR="00795F47" w:rsidRDefault="00795F47">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795F47" w:rsidRDefault="00B666DF">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795F47">
        <w:tc>
          <w:tcPr>
            <w:tcW w:w="2917" w:type="dxa"/>
          </w:tcPr>
          <w:p w:rsidR="00795F47" w:rsidRDefault="00795F47">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795F47" w:rsidRDefault="00B666DF">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795F47">
        <w:tc>
          <w:tcPr>
            <w:tcW w:w="2917" w:type="dxa"/>
          </w:tcPr>
          <w:p w:rsidR="00795F47" w:rsidRDefault="00795F47">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795F47" w:rsidRDefault="00B666DF">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outstanding employment debts and unlawful deduction of wages including any PAYE and National Insurance Contributions;</w:t>
            </w:r>
          </w:p>
        </w:tc>
      </w:tr>
      <w:tr w:rsidR="00795F47">
        <w:tc>
          <w:tcPr>
            <w:tcW w:w="2917" w:type="dxa"/>
          </w:tcPr>
          <w:p w:rsidR="00795F47" w:rsidRDefault="00795F47">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rsidR="00795F47" w:rsidRDefault="00B666DF">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795F47">
        <w:tc>
          <w:tcPr>
            <w:tcW w:w="2917" w:type="dxa"/>
          </w:tcPr>
          <w:p w:rsidR="00795F47" w:rsidRDefault="00795F47">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rsidR="00795F47" w:rsidRDefault="00B666DF">
            <w:pPr>
              <w:numPr>
                <w:ilvl w:val="1"/>
                <w:numId w:val="6"/>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795F47">
        <w:tc>
          <w:tcPr>
            <w:tcW w:w="2917" w:type="dxa"/>
          </w:tcPr>
          <w:p w:rsidR="00795F47" w:rsidRDefault="00B666DF">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"Former Supplier"</w:t>
            </w:r>
          </w:p>
        </w:tc>
        <w:tc>
          <w:tcPr>
            <w:tcW w:w="6109" w:type="dxa"/>
          </w:tcPr>
          <w:p w:rsidR="00795F47" w:rsidRDefault="00B666DF">
            <w:pPr>
              <w:pBdr>
                <w:top w:val="nil"/>
                <w:left w:val="nil"/>
                <w:bottom w:val="nil"/>
                <w:right w:val="nil"/>
                <w:between w:val="nil"/>
              </w:pBdr>
              <w:tabs>
                <w:tab w:val="left" w:pos="235"/>
              </w:tabs>
              <w:spacing w:before="120" w:after="120"/>
              <w:rPr>
                <w:rFonts w:ascii="Arial" w:eastAsia="Arial" w:hAnsi="Arial"/>
                <w:sz w:val="24"/>
                <w:szCs w:val="24"/>
              </w:rPr>
            </w:pPr>
            <w:r>
              <w:rPr>
                <w:rFonts w:ascii="Arial" w:eastAsia="Arial" w:hAnsi="Arial"/>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795F47">
        <w:trPr>
          <w:trHeight w:val="3560"/>
        </w:trPr>
        <w:tc>
          <w:tcPr>
            <w:tcW w:w="2917" w:type="dxa"/>
          </w:tcPr>
          <w:p w:rsidR="00795F47" w:rsidRDefault="00B666DF">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"New Fair Deal"</w:t>
            </w:r>
          </w:p>
        </w:tc>
        <w:tc>
          <w:tcPr>
            <w:tcW w:w="6109" w:type="dxa"/>
          </w:tcPr>
          <w:p w:rsidR="00795F47" w:rsidRDefault="00B666DF">
            <w:pPr>
              <w:pBdr>
                <w:top w:val="nil"/>
                <w:left w:val="nil"/>
                <w:bottom w:val="nil"/>
                <w:right w:val="nil"/>
                <w:between w:val="nil"/>
              </w:pBdr>
              <w:tabs>
                <w:tab w:val="left" w:pos="34"/>
              </w:tabs>
              <w:spacing w:before="120" w:after="120"/>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rsidR="00795F47" w:rsidRDefault="00B666DF">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amendments to that document immediately prior to the Relevant Transfer Date; and</w:t>
            </w:r>
          </w:p>
          <w:p w:rsidR="00795F47" w:rsidRDefault="00B666DF">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similar pension protection in accordance with the Annexes D1-D3 inclusive to Part D of this Schedule as notified to the Supplier by the Buyer;</w:t>
            </w:r>
          </w:p>
        </w:tc>
      </w:tr>
      <w:tr w:rsidR="00795F47">
        <w:trPr>
          <w:trHeight w:val="1824"/>
        </w:trPr>
        <w:tc>
          <w:tcPr>
            <w:tcW w:w="2917" w:type="dxa"/>
          </w:tcPr>
          <w:p w:rsidR="00795F47" w:rsidRDefault="00B666DF">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“Old Fair Deal”</w:t>
            </w:r>
          </w:p>
        </w:tc>
        <w:tc>
          <w:tcPr>
            <w:tcW w:w="6109" w:type="dxa"/>
          </w:tcPr>
          <w:p w:rsidR="00795F47" w:rsidRDefault="00B666DF">
            <w:pPr>
              <w:pBdr>
                <w:top w:val="nil"/>
                <w:left w:val="nil"/>
                <w:bottom w:val="nil"/>
                <w:right w:val="nil"/>
                <w:between w:val="nil"/>
              </w:pBdr>
              <w:tabs>
                <w:tab w:val="left" w:pos="34"/>
              </w:tabs>
              <w:spacing w:before="120" w:after="12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Issues</w:t>
            </w:r>
            <w:r>
              <w:rPr>
                <w:rFonts w:ascii="Arial" w:eastAsia="Arial" w:hAnsi="Arial"/>
                <w:sz w:val="24"/>
                <w:szCs w:val="24"/>
              </w:rPr>
              <w:t>” issued in June 2004;</w:t>
            </w:r>
          </w:p>
        </w:tc>
      </w:tr>
      <w:tr w:rsidR="00795F47">
        <w:tc>
          <w:tcPr>
            <w:tcW w:w="2917" w:type="dxa"/>
          </w:tcPr>
          <w:p w:rsidR="00795F47" w:rsidRDefault="00B666DF">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"Partial Termination"</w:t>
            </w:r>
          </w:p>
        </w:tc>
        <w:tc>
          <w:tcPr>
            <w:tcW w:w="6109" w:type="dxa"/>
          </w:tcPr>
          <w:p w:rsidR="00795F47" w:rsidRDefault="00B666DF">
            <w:pPr>
              <w:pBdr>
                <w:top w:val="nil"/>
                <w:left w:val="nil"/>
                <w:bottom w:val="nil"/>
                <w:right w:val="nil"/>
                <w:between w:val="nil"/>
              </w:pBdr>
              <w:tabs>
                <w:tab w:val="left" w:pos="235"/>
              </w:tabs>
              <w:spacing w:before="120" w:after="120"/>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795F47">
        <w:tc>
          <w:tcPr>
            <w:tcW w:w="2917" w:type="dxa"/>
          </w:tcPr>
          <w:p w:rsidR="00795F47" w:rsidRDefault="00B666DF">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w:t>
            </w:r>
          </w:p>
        </w:tc>
        <w:tc>
          <w:tcPr>
            <w:tcW w:w="6109" w:type="dxa"/>
          </w:tcPr>
          <w:p w:rsidR="00795F47" w:rsidRDefault="00B666DF">
            <w:pPr>
              <w:pBdr>
                <w:top w:val="nil"/>
                <w:left w:val="nil"/>
                <w:bottom w:val="nil"/>
                <w:right w:val="nil"/>
                <w:between w:val="nil"/>
              </w:pBdr>
              <w:tabs>
                <w:tab w:val="left" w:pos="34"/>
              </w:tabs>
              <w:spacing w:before="120" w:after="12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795F47">
        <w:tc>
          <w:tcPr>
            <w:tcW w:w="2917" w:type="dxa"/>
          </w:tcPr>
          <w:p w:rsidR="00795F47" w:rsidRDefault="00B666DF">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 Date"</w:t>
            </w:r>
          </w:p>
        </w:tc>
        <w:tc>
          <w:tcPr>
            <w:tcW w:w="6109" w:type="dxa"/>
          </w:tcPr>
          <w:p w:rsidR="00795F47" w:rsidRDefault="00B666DF">
            <w:pPr>
              <w:pBdr>
                <w:top w:val="nil"/>
                <w:left w:val="nil"/>
                <w:bottom w:val="nil"/>
                <w:right w:val="nil"/>
                <w:between w:val="nil"/>
              </w:pBdr>
              <w:tabs>
                <w:tab w:val="left" w:pos="34"/>
              </w:tabs>
              <w:spacing w:before="120" w:after="120"/>
              <w:rPr>
                <w:rFonts w:ascii="Arial" w:eastAsia="Arial" w:hAnsi="Arial"/>
                <w:sz w:val="24"/>
                <w:szCs w:val="24"/>
                <w:highlight w:val="green"/>
              </w:rPr>
            </w:pPr>
            <w:r>
              <w:rPr>
                <w:rFonts w:ascii="Arial" w:eastAsia="Arial" w:hAnsi="Arial"/>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795F47">
        <w:tc>
          <w:tcPr>
            <w:tcW w:w="2917" w:type="dxa"/>
          </w:tcPr>
          <w:p w:rsidR="00795F47" w:rsidRDefault="00B666DF">
            <w:pPr>
              <w:keepNext/>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"Staffing Information"</w:t>
            </w:r>
          </w:p>
        </w:tc>
        <w:tc>
          <w:tcPr>
            <w:tcW w:w="6109" w:type="dxa"/>
          </w:tcPr>
          <w:p w:rsidR="00795F47" w:rsidRDefault="00B666DF">
            <w:pPr>
              <w:keepNext/>
              <w:pBdr>
                <w:top w:val="nil"/>
                <w:left w:val="nil"/>
                <w:bottom w:val="nil"/>
                <w:right w:val="nil"/>
                <w:between w:val="nil"/>
              </w:pBdr>
              <w:spacing w:before="120" w:after="120"/>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795F47" w:rsidRDefault="00B666DF">
            <w:pPr>
              <w:keepNext/>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795F47">
        <w:tc>
          <w:tcPr>
            <w:tcW w:w="2917" w:type="dxa"/>
          </w:tcPr>
          <w:p w:rsidR="00795F47" w:rsidRDefault="00795F4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795F47" w:rsidRDefault="00B666DF">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(b)</w:t>
            </w:r>
            <w:r>
              <w:rPr>
                <w:rFonts w:ascii="Arial" w:eastAsia="Arial" w:hAnsi="Arial"/>
                <w:sz w:val="24"/>
                <w:szCs w:val="24"/>
              </w:rPr>
              <w:tab/>
              <w:t>details of whether they are employed, self-employed contractors or consultants, agency workers or otherwise;</w:t>
            </w:r>
          </w:p>
        </w:tc>
      </w:tr>
      <w:tr w:rsidR="00795F47">
        <w:tc>
          <w:tcPr>
            <w:tcW w:w="2917" w:type="dxa"/>
          </w:tcPr>
          <w:p w:rsidR="00795F47" w:rsidRDefault="00795F4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795F47" w:rsidRDefault="00B666DF">
            <w:pPr>
              <w:pBdr>
                <w:top w:val="nil"/>
                <w:left w:val="nil"/>
                <w:bottom w:val="nil"/>
                <w:right w:val="nil"/>
                <w:between w:val="nil"/>
              </w:pBdr>
              <w:spacing w:before="120" w:after="120"/>
              <w:ind w:left="655" w:hanging="655"/>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795F47">
        <w:tc>
          <w:tcPr>
            <w:tcW w:w="2917" w:type="dxa"/>
          </w:tcPr>
          <w:p w:rsidR="00795F47" w:rsidRDefault="00795F4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795F47" w:rsidRDefault="00B666DF">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(d)</w:t>
            </w:r>
            <w:r>
              <w:rPr>
                <w:rFonts w:ascii="Arial" w:eastAsia="Arial" w:hAnsi="Arial"/>
                <w:sz w:val="24"/>
                <w:szCs w:val="24"/>
              </w:rPr>
              <w:tab/>
              <w:t>their relevant contractual notice periods and any other terms relating to termination of employment, including redundancy procedures, and redundancy payments;</w:t>
            </w:r>
          </w:p>
        </w:tc>
      </w:tr>
      <w:tr w:rsidR="00795F47">
        <w:tc>
          <w:tcPr>
            <w:tcW w:w="2917" w:type="dxa"/>
          </w:tcPr>
          <w:p w:rsidR="00795F47" w:rsidRDefault="00795F4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795F47" w:rsidRDefault="00B666DF">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(e)</w:t>
            </w:r>
            <w:r>
              <w:rPr>
                <w:rFonts w:ascii="Arial" w:eastAsia="Arial" w:hAnsi="Arial"/>
                <w:sz w:val="24"/>
                <w:szCs w:val="24"/>
              </w:rPr>
              <w:tab/>
              <w:t>their wages, salaries, bonuses and profit sharing arrangements as applicable;</w:t>
            </w:r>
          </w:p>
        </w:tc>
      </w:tr>
      <w:tr w:rsidR="00795F47">
        <w:tc>
          <w:tcPr>
            <w:tcW w:w="2917" w:type="dxa"/>
          </w:tcPr>
          <w:p w:rsidR="00795F47" w:rsidRDefault="00795F4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795F47" w:rsidRDefault="00B666DF">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(f)</w:t>
            </w:r>
            <w:r>
              <w:rPr>
                <w:rFonts w:ascii="Arial" w:eastAsia="Arial" w:hAnsi="Arial"/>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795F47">
        <w:tc>
          <w:tcPr>
            <w:tcW w:w="2917" w:type="dxa"/>
          </w:tcPr>
          <w:p w:rsidR="00795F47" w:rsidRDefault="00795F4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795F47" w:rsidRDefault="00B666DF">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(g)</w:t>
            </w:r>
            <w:r>
              <w:rPr>
                <w:rFonts w:ascii="Arial" w:eastAsia="Arial" w:hAnsi="Arial"/>
                <w:sz w:val="24"/>
                <w:szCs w:val="24"/>
              </w:rPr>
              <w:tab/>
              <w:t>any outstanding or potential contractual, statutory or other liabilities in respect of such individuals (including in respect of personal injury claims);</w:t>
            </w:r>
          </w:p>
        </w:tc>
      </w:tr>
      <w:tr w:rsidR="00795F47">
        <w:tc>
          <w:tcPr>
            <w:tcW w:w="2917" w:type="dxa"/>
          </w:tcPr>
          <w:p w:rsidR="00795F47" w:rsidRDefault="00795F4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795F47" w:rsidRDefault="00B666DF">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(h)</w:t>
            </w:r>
            <w:r>
              <w:rPr>
                <w:rFonts w:ascii="Arial" w:eastAsia="Arial" w:hAnsi="Arial"/>
                <w:sz w:val="24"/>
                <w:szCs w:val="24"/>
              </w:rPr>
              <w:tab/>
              <w:t xml:space="preserve">details of any such individuals on long term sickness absence, parental leave, maternity leave or other authorised long term absence; </w:t>
            </w:r>
          </w:p>
        </w:tc>
      </w:tr>
      <w:tr w:rsidR="00795F47">
        <w:tc>
          <w:tcPr>
            <w:tcW w:w="2917" w:type="dxa"/>
          </w:tcPr>
          <w:p w:rsidR="00795F47" w:rsidRDefault="00795F47">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795F47" w:rsidRDefault="00B666DF">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(i)</w:t>
            </w:r>
            <w:r>
              <w:rPr>
                <w:rFonts w:ascii="Arial" w:eastAsia="Arial" w:hAnsi="Arial"/>
                <w:sz w:val="24"/>
                <w:szCs w:val="24"/>
              </w:rPr>
              <w:tab/>
              <w:t>copies of all relevant documents and materials relating to such information, including copies of relevant contracts of employment (or relevant standard contracts if applied generally in respect of such employees); and</w:t>
            </w:r>
          </w:p>
        </w:tc>
      </w:tr>
      <w:tr w:rsidR="00795F47">
        <w:tc>
          <w:tcPr>
            <w:tcW w:w="2917" w:type="dxa"/>
          </w:tcPr>
          <w:p w:rsidR="00795F47" w:rsidRDefault="00795F47">
            <w:pPr>
              <w:pBdr>
                <w:top w:val="nil"/>
                <w:left w:val="nil"/>
                <w:bottom w:val="nil"/>
                <w:right w:val="nil"/>
                <w:between w:val="nil"/>
              </w:pBdr>
              <w:spacing w:before="120" w:after="120"/>
              <w:ind w:left="709" w:firstLine="0"/>
              <w:rPr>
                <w:rFonts w:ascii="Arial" w:eastAsia="Arial" w:hAnsi="Arial"/>
                <w:b/>
                <w:sz w:val="24"/>
                <w:szCs w:val="24"/>
              </w:rPr>
            </w:pPr>
          </w:p>
          <w:p w:rsidR="00795F47" w:rsidRDefault="00795F47">
            <w:pPr>
              <w:pBdr>
                <w:top w:val="nil"/>
                <w:left w:val="nil"/>
                <w:bottom w:val="nil"/>
                <w:right w:val="nil"/>
                <w:between w:val="nil"/>
              </w:pBdr>
              <w:spacing w:before="120" w:after="120"/>
              <w:rPr>
                <w:rFonts w:ascii="Arial" w:eastAsia="Arial" w:hAnsi="Arial"/>
                <w:b/>
                <w:sz w:val="24"/>
                <w:szCs w:val="24"/>
              </w:rPr>
            </w:pPr>
          </w:p>
        </w:tc>
        <w:tc>
          <w:tcPr>
            <w:tcW w:w="6109" w:type="dxa"/>
          </w:tcPr>
          <w:p w:rsidR="00795F47" w:rsidRDefault="00B666DF">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(j)</w:t>
            </w:r>
            <w:r>
              <w:rPr>
                <w:rFonts w:ascii="Arial" w:eastAsia="Arial" w:hAnsi="Arial"/>
                <w:sz w:val="24"/>
                <w:szCs w:val="24"/>
              </w:rPr>
              <w:tab/>
              <w:t xml:space="preserve">any other "employee liability information" as such term is defined in regulation 11 of the Employment Regulations; </w:t>
            </w:r>
          </w:p>
        </w:tc>
      </w:tr>
      <w:tr w:rsidR="00795F47">
        <w:tc>
          <w:tcPr>
            <w:tcW w:w="2917" w:type="dxa"/>
          </w:tcPr>
          <w:p w:rsidR="00795F47" w:rsidRDefault="00B666DF">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Final Supplier Personnel List"</w:t>
            </w:r>
          </w:p>
        </w:tc>
        <w:tc>
          <w:tcPr>
            <w:tcW w:w="6109" w:type="dxa"/>
          </w:tcPr>
          <w:p w:rsidR="00795F47" w:rsidRDefault="00B666DF">
            <w:pPr>
              <w:pBdr>
                <w:top w:val="nil"/>
                <w:left w:val="nil"/>
                <w:bottom w:val="nil"/>
                <w:right w:val="nil"/>
                <w:between w:val="nil"/>
              </w:pBdr>
              <w:tabs>
                <w:tab w:val="left" w:pos="34"/>
              </w:tabs>
              <w:spacing w:before="120" w:after="120"/>
              <w:rPr>
                <w:rFonts w:ascii="Arial" w:eastAsia="Arial" w:hAnsi="Arial"/>
                <w:sz w:val="24"/>
                <w:szCs w:val="24"/>
              </w:rPr>
            </w:pPr>
            <w:r>
              <w:rPr>
                <w:rFonts w:ascii="Arial" w:eastAsia="Arial" w:hAnsi="Arial"/>
                <w:sz w:val="24"/>
                <w:szCs w:val="24"/>
              </w:rPr>
              <w:t>a list provided by the Supplier of all Supplier Staff whose will transfer under the Employment Regulations on the Service Transfer Date;</w:t>
            </w:r>
          </w:p>
        </w:tc>
      </w:tr>
      <w:tr w:rsidR="00795F47">
        <w:tc>
          <w:tcPr>
            <w:tcW w:w="2917" w:type="dxa"/>
          </w:tcPr>
          <w:p w:rsidR="00795F47" w:rsidRDefault="00B666DF">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Provisional Supplier Personnel List"</w:t>
            </w:r>
          </w:p>
        </w:tc>
        <w:tc>
          <w:tcPr>
            <w:tcW w:w="6109" w:type="dxa"/>
          </w:tcPr>
          <w:p w:rsidR="00795F47" w:rsidRDefault="00B666DF">
            <w:pPr>
              <w:pBdr>
                <w:top w:val="nil"/>
                <w:left w:val="nil"/>
                <w:bottom w:val="nil"/>
                <w:right w:val="nil"/>
                <w:between w:val="nil"/>
              </w:pBdr>
              <w:spacing w:before="120" w:after="120"/>
              <w:ind w:left="34" w:firstLine="0"/>
              <w:rPr>
                <w:rFonts w:ascii="Arial" w:eastAsia="Arial" w:hAnsi="Arial"/>
                <w:sz w:val="24"/>
                <w:szCs w:val="24"/>
              </w:rPr>
            </w:pPr>
            <w:r>
              <w:rPr>
                <w:rFonts w:ascii="Arial" w:eastAsia="Arial" w:hAnsi="Arial"/>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795F47">
        <w:tc>
          <w:tcPr>
            <w:tcW w:w="2917" w:type="dxa"/>
          </w:tcPr>
          <w:p w:rsidR="00795F47" w:rsidRDefault="00B666DF">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"Term"</w:t>
            </w:r>
          </w:p>
        </w:tc>
        <w:tc>
          <w:tcPr>
            <w:tcW w:w="6109" w:type="dxa"/>
          </w:tcPr>
          <w:p w:rsidR="00795F47" w:rsidRDefault="00B666DF">
            <w:pPr>
              <w:pBdr>
                <w:top w:val="nil"/>
                <w:left w:val="nil"/>
                <w:bottom w:val="nil"/>
                <w:right w:val="nil"/>
                <w:between w:val="nil"/>
              </w:pBdr>
              <w:spacing w:before="120" w:after="120"/>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795F47">
        <w:tc>
          <w:tcPr>
            <w:tcW w:w="2917" w:type="dxa"/>
          </w:tcPr>
          <w:p w:rsidR="00795F47" w:rsidRDefault="00B666DF">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"Transferring Buyer Employees"</w:t>
            </w:r>
          </w:p>
        </w:tc>
        <w:tc>
          <w:tcPr>
            <w:tcW w:w="6109" w:type="dxa"/>
          </w:tcPr>
          <w:p w:rsidR="00795F47" w:rsidRDefault="00B666DF">
            <w:pPr>
              <w:pBdr>
                <w:top w:val="nil"/>
                <w:left w:val="nil"/>
                <w:bottom w:val="nil"/>
                <w:right w:val="nil"/>
                <w:between w:val="nil"/>
              </w:pBdr>
              <w:spacing w:before="120" w:after="120"/>
              <w:rPr>
                <w:rFonts w:ascii="Arial" w:eastAsia="Arial" w:hAnsi="Arial"/>
                <w:sz w:val="24"/>
                <w:szCs w:val="24"/>
              </w:rPr>
            </w:pPr>
            <w:r>
              <w:rPr>
                <w:rFonts w:ascii="Arial" w:eastAsia="Arial" w:hAnsi="Arial"/>
                <w:sz w:val="24"/>
                <w:szCs w:val="24"/>
              </w:rPr>
              <w:t>those employees of the Buyer to whom the Employment Regulations will apply on the Relevant Transfer Date;</w:t>
            </w:r>
          </w:p>
        </w:tc>
      </w:tr>
      <w:tr w:rsidR="00795F47">
        <w:tc>
          <w:tcPr>
            <w:tcW w:w="2917" w:type="dxa"/>
          </w:tcPr>
          <w:p w:rsidR="00795F47" w:rsidRDefault="00B666DF">
            <w:pPr>
              <w:pBdr>
                <w:top w:val="nil"/>
                <w:left w:val="nil"/>
                <w:bottom w:val="nil"/>
                <w:right w:val="nil"/>
                <w:between w:val="nil"/>
              </w:pBdr>
              <w:spacing w:before="120" w:after="120"/>
              <w:ind w:left="709" w:firstLine="0"/>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rsidR="00795F47" w:rsidRDefault="00B666DF">
            <w:pPr>
              <w:pBdr>
                <w:top w:val="nil"/>
                <w:left w:val="nil"/>
                <w:bottom w:val="nil"/>
                <w:right w:val="nil"/>
                <w:between w:val="nil"/>
              </w:pBdr>
              <w:spacing w:before="120" w:after="120"/>
              <w:rPr>
                <w:rFonts w:ascii="Arial" w:eastAsia="Arial" w:hAnsi="Arial"/>
                <w:sz w:val="24"/>
                <w:szCs w:val="24"/>
                <w:highlight w:val="green"/>
              </w:rPr>
            </w:pPr>
            <w:r>
              <w:rPr>
                <w:rFonts w:ascii="Arial" w:eastAsia="Arial" w:hAnsi="Arial"/>
                <w:sz w:val="24"/>
                <w:szCs w:val="24"/>
              </w:rPr>
              <w:t>in relation to a Former Supplier, those employees of the Former Supplier to whom the Employment Regulations will apply on the Relevant Transfer Date.</w:t>
            </w:r>
          </w:p>
        </w:tc>
      </w:tr>
    </w:tbl>
    <w:p w:rsidR="00795F47" w:rsidRDefault="00B666DF">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795F47" w:rsidRDefault="00B666DF">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795F47" w:rsidRDefault="00B666D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795F47" w:rsidRDefault="00B666D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Call-Off Contract has no right under the CRTPA to enforce any term of this Call-Off </w:t>
      </w:r>
      <w:r>
        <w:rPr>
          <w:rFonts w:ascii="Arial" w:eastAsia="Arial" w:hAnsi="Arial"/>
          <w:color w:val="000000"/>
          <w:sz w:val="24"/>
          <w:szCs w:val="24"/>
        </w:rPr>
        <w:lastRenderedPageBreak/>
        <w:t xml:space="preserve">Contract but this does not affect any right or remedy of any person which exists or is available otherwise than pursuant to that Act. </w:t>
      </w:r>
    </w:p>
    <w:p w:rsidR="00795F47" w:rsidRDefault="00B666D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No Third Party Beneficiary may enforce, or take any step to enforce, any Third Party Provision without the prior written consent of the Buyer, which may, if given, be given on and subject to such terms as the Buyer may determine.</w:t>
      </w:r>
    </w:p>
    <w:p w:rsidR="00795F47" w:rsidRDefault="00B666DF">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rsidR="00795F47" w:rsidRDefault="00B666DF">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rsidR="00795F47" w:rsidRDefault="00B666DF">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rsidR="00795F47" w:rsidRDefault="00B666DF">
      <w:pPr>
        <w:ind w:left="357"/>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Call Off Contract]</w:t>
      </w:r>
    </w:p>
    <w:p w:rsidR="00795F47" w:rsidRDefault="00B666DF">
      <w:pPr>
        <w:numPr>
          <w:ilvl w:val="1"/>
          <w:numId w:val="15"/>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Buyer)]</w:t>
      </w:r>
    </w:p>
    <w:p w:rsidR="00795F47" w:rsidRDefault="00B666DF">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Supplier)]</w:t>
      </w:r>
    </w:p>
    <w:p w:rsidR="00795F47" w:rsidRDefault="00B666DF">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rsidR="00795F47" w:rsidRDefault="00B666DF">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795F47" w:rsidRDefault="00B666DF">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795F47" w:rsidRDefault="00B666DF">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795F47" w:rsidRDefault="00B666DF">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795F47" w:rsidRDefault="00B666DF">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rsidR="00795F47" w:rsidRDefault="00B666DF">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rsidR="00795F47" w:rsidRDefault="00795F47">
      <w:pPr>
        <w:ind w:left="357"/>
        <w:rPr>
          <w:rFonts w:ascii="Arial" w:eastAsia="Arial" w:hAnsi="Arial"/>
          <w:sz w:val="24"/>
          <w:szCs w:val="24"/>
        </w:rPr>
      </w:pPr>
    </w:p>
    <w:p w:rsidR="00795F47" w:rsidRDefault="00B666DF">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rsidR="00795F47" w:rsidRDefault="00B666DF">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rsidR="00795F47" w:rsidRDefault="00B666DF">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1" w:name="_heading=h.30j0zll" w:colFirst="0" w:colLast="0"/>
      <w:bookmarkEnd w:id="1"/>
      <w:r>
        <w:rPr>
          <w:rFonts w:ascii="Arial Bold" w:eastAsia="Arial Bold" w:hAnsi="Arial Bold" w:cs="Arial Bold"/>
          <w:b/>
          <w:color w:val="000000"/>
          <w:sz w:val="24"/>
          <w:szCs w:val="24"/>
        </w:rPr>
        <w:t>What is a relevant transfer</w:t>
      </w:r>
      <w:bookmarkStart w:id="2" w:name="bookmark=id.1fob9te" w:colFirst="0" w:colLast="0"/>
      <w:bookmarkEnd w:id="2"/>
    </w:p>
    <w:p w:rsidR="00795F47" w:rsidRDefault="00B666D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795F47" w:rsidRDefault="00B666DF">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795F47" w:rsidRDefault="00B666DF">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3" w:name="_heading=h.3znysh7" w:colFirst="0" w:colLast="0"/>
      <w:bookmarkEnd w:id="3"/>
      <w:r>
        <w:rPr>
          <w:rFonts w:ascii="Arial Bold" w:eastAsia="Arial Bold" w:hAnsi="Arial Bold" w:cs="Arial Bold"/>
          <w:b/>
          <w:color w:val="000000"/>
          <w:sz w:val="24"/>
          <w:szCs w:val="24"/>
        </w:rPr>
        <w:t xml:space="preserve">Indemnities the Buyer must give </w:t>
      </w:r>
    </w:p>
    <w:p w:rsidR="00795F47" w:rsidRDefault="00B666D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rsidR="00795F47" w:rsidRDefault="00B666DF">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795F47" w:rsidRDefault="00B666DF">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795F47" w:rsidRDefault="00B666D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rsidR="00795F47" w:rsidRDefault="00B666D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795F47" w:rsidRDefault="00B666D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rsidR="00795F47" w:rsidRDefault="00795F47">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795F47" w:rsidRDefault="00B666D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Supplier shall, or shall procure that the Subcontractor shall, within 5 Working Days of becoming aware of that fact, notify the Buyer in writing; and</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795F47" w:rsidRDefault="00795F47">
      <w:pPr>
        <w:pBdr>
          <w:top w:val="nil"/>
          <w:left w:val="nil"/>
          <w:bottom w:val="nil"/>
          <w:right w:val="nil"/>
          <w:between w:val="nil"/>
        </w:pBdr>
        <w:spacing w:before="120" w:after="120"/>
        <w:ind w:left="2214" w:hanging="1080"/>
        <w:rPr>
          <w:rFonts w:ascii="Arial" w:eastAsia="Arial" w:hAnsi="Arial"/>
          <w:color w:val="000000"/>
          <w:sz w:val="24"/>
          <w:szCs w:val="24"/>
        </w:rPr>
      </w:pPr>
    </w:p>
    <w:p w:rsidR="00795F47" w:rsidRDefault="00B666D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rsidR="00795F47" w:rsidRDefault="00B666D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 xml:space="preserve">If by the end of the 15 Working Day period referred to in Paragraph 2.3.2: </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795F47" w:rsidRDefault="00B666DF">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rsidR="00795F47" w:rsidRDefault="00B666D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takes, all reasonable steps to minimise any such Employee Liabilities. </w:t>
      </w:r>
    </w:p>
    <w:p w:rsidR="00795F47" w:rsidRDefault="00B666D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 xml:space="preserve">The indemnity in Paragraph 2.6: </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rsidR="00795F47" w:rsidRDefault="00B666DF">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rsidR="00795F47" w:rsidRDefault="00B666DF">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rsidR="00795F47" w:rsidRDefault="00B666DF">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rsidR="00795F47" w:rsidRDefault="00B666DF">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795F47" w:rsidRDefault="00B666DF">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rsidR="00795F47" w:rsidRDefault="00B666D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795F47" w:rsidRDefault="00B666DF">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3" w:name="_heading=h.lnxbz9" w:colFirst="0" w:colLast="0"/>
      <w:bookmarkEnd w:id="13"/>
      <w:r>
        <w:rPr>
          <w:rFonts w:ascii="Arial Bold" w:eastAsia="Arial Bold" w:hAnsi="Arial Bold" w:cs="Arial Bold"/>
          <w:b/>
          <w:color w:val="000000"/>
          <w:sz w:val="24"/>
          <w:szCs w:val="24"/>
        </w:rPr>
        <w:t>Indemnities the Supplier must give and its obligations</w:t>
      </w:r>
    </w:p>
    <w:p w:rsidR="00795F47" w:rsidRDefault="00B666D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 xml:space="preserve">Subject to Paragraph 3.2, the Supplier shall indemnify the Buyer against any Employee Liabilities arising from or as a result of: </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rsidR="00795F47" w:rsidRDefault="00B666D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795F47" w:rsidRDefault="00B666D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795F47" w:rsidRDefault="00B666D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rsidR="00795F47" w:rsidRDefault="00B666DF">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rsidR="00795F47" w:rsidRDefault="00B666D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795F47" w:rsidRDefault="00B666D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795F47" w:rsidRDefault="00B666DF">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rsidR="00795F47" w:rsidRDefault="00B666DF">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795F47" w:rsidRDefault="00B666DF">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795F47" w:rsidRDefault="00B666D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795F47" w:rsidRDefault="00B666D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lastRenderedPageBreak/>
        <w:t xml:space="preserve">The Supplier shall, and shall procure that each Subcontractor shall, comply with any requirement notified to it by the Buyer relating to pensions in respect of any Transferring Buyer Employee as set down in: </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795F47" w:rsidRDefault="00795F47">
      <w:pPr>
        <w:pBdr>
          <w:top w:val="nil"/>
          <w:left w:val="nil"/>
          <w:bottom w:val="nil"/>
          <w:right w:val="nil"/>
          <w:between w:val="nil"/>
        </w:pBdr>
        <w:spacing w:before="120" w:after="120"/>
        <w:ind w:left="2214" w:hanging="1080"/>
        <w:rPr>
          <w:color w:val="000000"/>
        </w:rPr>
      </w:pPr>
    </w:p>
    <w:p w:rsidR="00795F47" w:rsidRDefault="00B666DF">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795F47" w:rsidRDefault="00B666DF">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rsidR="00795F47" w:rsidRDefault="00B666DF">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rsidR="00795F47" w:rsidRDefault="00B666DF">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795F47" w:rsidRDefault="00B666DF">
      <w:pPr>
        <w:pStyle w:val="Heading1"/>
        <w:jc w:val="both"/>
        <w:rPr>
          <w:rFonts w:ascii="Arial Bold" w:eastAsia="Arial Bold" w:hAnsi="Arial Bold" w:cs="Arial Bold"/>
          <w:sz w:val="36"/>
          <w:szCs w:val="36"/>
        </w:rPr>
      </w:pPr>
      <w:bookmarkStart w:id="18" w:name="_heading=h.z337ya" w:colFirst="0" w:colLast="0"/>
      <w:bookmarkEnd w:id="18"/>
      <w:r>
        <w:br w:type="page"/>
      </w:r>
      <w:r>
        <w:rPr>
          <w:rFonts w:ascii="Arial Bold" w:eastAsia="Arial Bold" w:hAnsi="Arial Bold" w:cs="Arial Bold"/>
          <w:sz w:val="36"/>
          <w:szCs w:val="36"/>
        </w:rPr>
        <w:lastRenderedPageBreak/>
        <w:t xml:space="preserve">Part B: Staff transfer at the Start Date </w:t>
      </w:r>
    </w:p>
    <w:p w:rsidR="00795F47" w:rsidRDefault="00B666DF">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rsidR="00795F47" w:rsidRDefault="00B666DF">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rsidR="00795F47" w:rsidRDefault="00B666D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795F47" w:rsidRDefault="00B666D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3j2qqm3" w:colFirst="0" w:colLast="0"/>
      <w:bookmarkEnd w:id="19"/>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795F47" w:rsidRDefault="00B666D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0" w:name="_heading=h.1y810tw" w:colFirst="0" w:colLast="0"/>
      <w:bookmarkEnd w:id="20"/>
      <w:r>
        <w:rPr>
          <w:rFonts w:ascii="Arial Bold" w:eastAsia="Arial Bold" w:hAnsi="Arial Bold" w:cs="Arial Bold"/>
          <w:b/>
          <w:color w:val="000000"/>
          <w:sz w:val="24"/>
          <w:szCs w:val="24"/>
        </w:rPr>
        <w:t>Indemnities given by the Former Supplier</w:t>
      </w:r>
    </w:p>
    <w:p w:rsidR="00795F47" w:rsidRDefault="00B666D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rsidR="00795F47" w:rsidRDefault="00B666D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rsidR="00795F47" w:rsidRDefault="00B666D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795F47" w:rsidRDefault="00B666D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rsidR="00795F47" w:rsidRDefault="00B666D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Former Supplier Employee or </w:t>
      </w:r>
      <w:bookmarkStart w:id="21" w:name="_GoBack"/>
      <w:bookmarkEnd w:id="21"/>
      <w:r>
        <w:rPr>
          <w:rFonts w:ascii="Arial" w:eastAsia="Arial" w:hAnsi="Arial"/>
          <w:color w:val="000000"/>
          <w:sz w:val="24"/>
          <w:szCs w:val="24"/>
        </w:rPr>
        <w:t xml:space="preserve">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r w:rsidR="00030B2A" w:rsidRPr="00030B2A">
        <w:rPr>
          <w:rFonts w:ascii="Arial" w:eastAsia="Arial" w:hAnsi="Arial"/>
          <w:color w:val="000000"/>
          <w:sz w:val="24"/>
          <w:szCs w:val="24"/>
          <w:highlight w:val="yellow"/>
        </w:rPr>
        <w:t>li</w:t>
      </w:r>
      <w:r w:rsidR="005C32AD">
        <w:rPr>
          <w:rFonts w:ascii="Arial" w:eastAsia="Arial" w:hAnsi="Arial"/>
          <w:color w:val="000000"/>
          <w:sz w:val="24"/>
          <w:szCs w:val="24"/>
          <w:highlight w:val="yellow"/>
        </w:rPr>
        <w:t>a</w:t>
      </w:r>
      <w:r w:rsidRPr="00030B2A">
        <w:rPr>
          <w:rFonts w:ascii="Arial" w:eastAsia="Arial" w:hAnsi="Arial"/>
          <w:color w:val="000000"/>
          <w:sz w:val="24"/>
          <w:szCs w:val="24"/>
          <w:highlight w:val="yellow"/>
        </w:rPr>
        <w:t>bility</w:t>
      </w:r>
      <w:r>
        <w:rPr>
          <w:rFonts w:ascii="Arial" w:eastAsia="Arial" w:hAnsi="Arial"/>
          <w:color w:val="000000"/>
          <w:sz w:val="24"/>
          <w:szCs w:val="24"/>
        </w:rPr>
        <w:t xml:space="preserve"> arises from the failure by the Supplier or any Subcontractor to comply with regulation 13(4) of the Employment Regulations.</w:t>
      </w:r>
    </w:p>
    <w:p w:rsidR="00795F47" w:rsidRDefault="00795F47">
      <w:pPr>
        <w:pBdr>
          <w:top w:val="nil"/>
          <w:left w:val="nil"/>
          <w:bottom w:val="nil"/>
          <w:right w:val="nil"/>
          <w:between w:val="nil"/>
        </w:pBdr>
        <w:spacing w:before="120" w:after="120"/>
        <w:ind w:left="2214" w:hanging="1080"/>
        <w:rPr>
          <w:color w:val="000000"/>
        </w:rPr>
      </w:pPr>
    </w:p>
    <w:p w:rsidR="00795F47" w:rsidRDefault="00B666D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Transfer Date including, without limitation, any Employee Liabilities:</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rsidR="00795F47" w:rsidRDefault="00B666D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795F47" w:rsidRDefault="00B666D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795F47" w:rsidRDefault="00B666D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 xml:space="preserve">If by the end of the 15 Working Day period referred to in Paragraph 2.3.2: </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795F47" w:rsidRDefault="00B666DF">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rsidR="00795F47" w:rsidRDefault="00B666D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w:t>
      </w:r>
    </w:p>
    <w:p w:rsidR="00795F47" w:rsidRDefault="00B666D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qsh70q" w:colFirst="0" w:colLast="0"/>
      <w:bookmarkEnd w:id="27"/>
      <w:r>
        <w:rPr>
          <w:rFonts w:ascii="Arial" w:eastAsia="Arial" w:hAnsi="Arial"/>
          <w:color w:val="000000"/>
          <w:sz w:val="24"/>
          <w:szCs w:val="24"/>
        </w:rPr>
        <w:t xml:space="preserve">The indemnity in Paragraph 2.6: </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795F47" w:rsidRDefault="00B666DF">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rsidR="00795F47" w:rsidRDefault="00B666DF">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795F47" w:rsidRDefault="00B666DF">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rsidR="00795F47" w:rsidRDefault="00B666DF">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795F47" w:rsidRDefault="00B666DF">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rsidR="00795F47" w:rsidRDefault="00B666D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795F47" w:rsidRDefault="00B666D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8" w:name="_heading=h.3as4poj" w:colFirst="0" w:colLast="0"/>
      <w:bookmarkEnd w:id="28"/>
      <w:r>
        <w:rPr>
          <w:rFonts w:ascii="Arial Bold" w:eastAsia="Arial Bold" w:hAnsi="Arial Bold" w:cs="Arial Bold"/>
          <w:b/>
          <w:color w:val="000000"/>
          <w:sz w:val="24"/>
          <w:szCs w:val="24"/>
        </w:rPr>
        <w:t>Indemnities the Supplier must give and its obligations</w:t>
      </w:r>
    </w:p>
    <w:p w:rsidR="00795F47" w:rsidRDefault="00B666D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rsidR="00795F47" w:rsidRDefault="00B666D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rsidR="00795F47" w:rsidRDefault="00B666D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795F47" w:rsidRDefault="00B666D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rsidR="00795F47" w:rsidRDefault="00B666DF">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rsidR="00795F47" w:rsidRDefault="00795F47">
      <w:pPr>
        <w:pBdr>
          <w:top w:val="nil"/>
          <w:left w:val="nil"/>
          <w:bottom w:val="nil"/>
          <w:right w:val="nil"/>
          <w:between w:val="nil"/>
        </w:pBdr>
        <w:spacing w:before="120" w:after="120"/>
        <w:ind w:left="2214" w:hanging="1080"/>
        <w:rPr>
          <w:color w:val="000000"/>
        </w:rPr>
      </w:pPr>
      <w:bookmarkStart w:id="29" w:name="_heading=h.1pxezwc" w:colFirst="0" w:colLast="0"/>
      <w:bookmarkEnd w:id="29"/>
    </w:p>
    <w:p w:rsidR="00795F47" w:rsidRDefault="00B666D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795F47" w:rsidRDefault="00B666D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795F47" w:rsidRDefault="00B666D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rsidR="00795F47" w:rsidRDefault="00B666DF">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rsidR="00795F47" w:rsidRDefault="00B666D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795F47" w:rsidRDefault="00B666D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795F47" w:rsidRDefault="00B666DF">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Variation Procedure.</w:t>
      </w:r>
    </w:p>
    <w:p w:rsidR="00795F47" w:rsidRDefault="00B666D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795F47" w:rsidRDefault="00B666DF">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795F47" w:rsidRDefault="00B666DF">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rsidR="00795F47" w:rsidRDefault="00B666DF">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rsidR="00795F47" w:rsidRDefault="00B666DF">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795F47" w:rsidRDefault="00795F47">
      <w:pPr>
        <w:rPr>
          <w:rFonts w:ascii="Arial" w:eastAsia="Arial" w:hAnsi="Arial"/>
          <w:sz w:val="24"/>
          <w:szCs w:val="24"/>
        </w:rPr>
      </w:pPr>
    </w:p>
    <w:p w:rsidR="00795F47" w:rsidRDefault="00795F47">
      <w:pPr>
        <w:rPr>
          <w:rFonts w:ascii="Arial" w:eastAsia="Arial" w:hAnsi="Arial"/>
          <w:sz w:val="24"/>
          <w:szCs w:val="24"/>
        </w:rPr>
      </w:pPr>
    </w:p>
    <w:p w:rsidR="00795F47" w:rsidRDefault="00B666DF">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rsidR="00795F47" w:rsidRDefault="00B666DF">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795F47" w:rsidRDefault="00B666D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795F47" w:rsidRDefault="00B666D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795F47" w:rsidRDefault="00B666DF">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rsidR="00795F47" w:rsidRDefault="00B666DF">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795F47" w:rsidRDefault="00B666D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795F47" w:rsidRDefault="00B666D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 xml:space="preserve">If by the end of the 15 Working Day period referred to in Paragraph 1.2.2: </w:t>
      </w:r>
    </w:p>
    <w:p w:rsidR="00795F47" w:rsidRDefault="00B666D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795F47" w:rsidRDefault="00B666D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795F47" w:rsidRDefault="00B666D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795F47" w:rsidRDefault="00B666DF">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rsidR="00795F47" w:rsidRDefault="00795F47">
      <w:pPr>
        <w:pBdr>
          <w:top w:val="nil"/>
          <w:left w:val="nil"/>
          <w:bottom w:val="nil"/>
          <w:right w:val="nil"/>
          <w:between w:val="nil"/>
        </w:pBdr>
        <w:spacing w:before="120" w:after="120"/>
        <w:ind w:left="1134" w:hanging="1080"/>
        <w:rPr>
          <w:rFonts w:ascii="Arial" w:eastAsia="Arial" w:hAnsi="Arial"/>
          <w:color w:val="000000"/>
          <w:sz w:val="24"/>
          <w:szCs w:val="24"/>
        </w:rPr>
      </w:pPr>
    </w:p>
    <w:p w:rsidR="00795F47" w:rsidRDefault="00B666D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rsidR="00795F47" w:rsidRDefault="00B666D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rsidR="00795F47" w:rsidRDefault="00B666D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795F47" w:rsidRDefault="00B666D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795F47" w:rsidRDefault="00B666D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795F47" w:rsidRDefault="00795F47">
      <w:pPr>
        <w:keepNext/>
        <w:pBdr>
          <w:top w:val="nil"/>
          <w:left w:val="nil"/>
          <w:bottom w:val="nil"/>
          <w:right w:val="nil"/>
          <w:between w:val="nil"/>
        </w:pBdr>
        <w:tabs>
          <w:tab w:val="left" w:pos="993"/>
        </w:tabs>
        <w:spacing w:before="120" w:after="120"/>
        <w:ind w:left="720" w:hanging="720"/>
        <w:rPr>
          <w:color w:val="000000"/>
        </w:rPr>
      </w:pPr>
    </w:p>
    <w:p w:rsidR="00795F47" w:rsidRDefault="00B666DF">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t xml:space="preserve">The indemnities in Paragraph 1.5: </w:t>
      </w:r>
    </w:p>
    <w:p w:rsidR="00795F47" w:rsidRDefault="00B666D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795F47" w:rsidRDefault="00B666DF">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rsidR="00795F47" w:rsidRDefault="00B666DF">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795F47" w:rsidRDefault="00B666DF">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rsidR="00795F47" w:rsidRDefault="00B666DF">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795F47" w:rsidRDefault="00B666DF">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rsidR="00795F47" w:rsidRDefault="00B666DF">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rsidR="00795F47" w:rsidRDefault="00B666DF">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795F47" w:rsidRDefault="00B666DF">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795F47" w:rsidRDefault="00B666DF">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795F47" w:rsidRDefault="00B666DF">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rsidR="00795F47" w:rsidRDefault="00B666DF">
      <w:pPr>
        <w:rPr>
          <w:rFonts w:ascii="Arial" w:eastAsia="Arial" w:hAnsi="Arial"/>
        </w:rPr>
      </w:pPr>
      <w:r>
        <w:rPr>
          <w:rFonts w:ascii="Arial" w:eastAsia="Arial" w:hAnsi="Arial"/>
          <w:b/>
          <w:sz w:val="24"/>
          <w:szCs w:val="24"/>
          <w:highlight w:val="yellow"/>
        </w:rPr>
        <w:t>[Guidance: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rsidR="00795F47" w:rsidRDefault="00B666DF">
      <w:pPr>
        <w:keepNext/>
        <w:numPr>
          <w:ilvl w:val="0"/>
          <w:numId w:val="13"/>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795F47" w:rsidRDefault="00B666DF">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5"/>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795F47">
        <w:tc>
          <w:tcPr>
            <w:tcW w:w="3404" w:type="dxa"/>
            <w:shd w:val="clear" w:color="auto" w:fill="auto"/>
          </w:tcPr>
          <w:p w:rsidR="00795F47" w:rsidRDefault="00B666DF">
            <w:pPr>
              <w:spacing w:before="120" w:after="120"/>
              <w:ind w:left="720" w:firstLine="0"/>
              <w:rPr>
                <w:rFonts w:ascii="Arial" w:eastAsia="Arial" w:hAnsi="Arial"/>
                <w:b/>
                <w:sz w:val="24"/>
                <w:szCs w:val="24"/>
              </w:rPr>
            </w:pPr>
            <w:r>
              <w:rPr>
                <w:rFonts w:ascii="Arial" w:eastAsia="Arial" w:hAnsi="Arial"/>
                <w:b/>
                <w:sz w:val="24"/>
                <w:szCs w:val="24"/>
              </w:rPr>
              <w:t>"Actuary"</w:t>
            </w:r>
          </w:p>
        </w:tc>
        <w:tc>
          <w:tcPr>
            <w:tcW w:w="5622" w:type="dxa"/>
            <w:shd w:val="clear" w:color="auto" w:fill="auto"/>
          </w:tcPr>
          <w:p w:rsidR="00795F47" w:rsidRDefault="00B666DF">
            <w:pPr>
              <w:tabs>
                <w:tab w:val="left" w:pos="235"/>
              </w:tabs>
              <w:spacing w:before="120" w:after="120"/>
              <w:rPr>
                <w:rFonts w:ascii="Arial" w:eastAsia="Arial" w:hAnsi="Arial"/>
                <w:sz w:val="24"/>
                <w:szCs w:val="24"/>
              </w:rPr>
            </w:pPr>
            <w:r>
              <w:rPr>
                <w:rFonts w:ascii="Arial" w:eastAsia="Arial" w:hAnsi="Arial"/>
                <w:sz w:val="24"/>
                <w:szCs w:val="24"/>
              </w:rPr>
              <w:t>a Fellow of the Institute and Faculty of Actuaries;</w:t>
            </w:r>
          </w:p>
        </w:tc>
      </w:tr>
      <w:tr w:rsidR="00795F47">
        <w:tc>
          <w:tcPr>
            <w:tcW w:w="3404" w:type="dxa"/>
            <w:shd w:val="clear" w:color="auto" w:fill="auto"/>
          </w:tcPr>
          <w:p w:rsidR="00795F47" w:rsidRDefault="00B666DF">
            <w:pPr>
              <w:spacing w:before="120" w:after="120"/>
              <w:ind w:left="720" w:firstLine="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rsidR="00795F47" w:rsidRDefault="00B666DF">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795F47">
        <w:tc>
          <w:tcPr>
            <w:tcW w:w="3404" w:type="dxa"/>
            <w:shd w:val="clear" w:color="auto" w:fill="auto"/>
          </w:tcPr>
          <w:p w:rsidR="00795F47" w:rsidRDefault="00B666DF">
            <w:pPr>
              <w:spacing w:before="120" w:after="120"/>
              <w:ind w:left="720" w:firstLine="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rsidR="00795F47" w:rsidRDefault="00B666DF">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rsidR="00795F47" w:rsidRDefault="00795F47">
            <w:pPr>
              <w:tabs>
                <w:tab w:val="left" w:pos="235"/>
              </w:tabs>
              <w:spacing w:before="120" w:after="120"/>
              <w:rPr>
                <w:rFonts w:ascii="Arial" w:eastAsia="Arial" w:hAnsi="Arial"/>
                <w:sz w:val="24"/>
                <w:szCs w:val="24"/>
              </w:rPr>
            </w:pPr>
          </w:p>
        </w:tc>
      </w:tr>
      <w:tr w:rsidR="00795F47">
        <w:tc>
          <w:tcPr>
            <w:tcW w:w="3404" w:type="dxa"/>
            <w:shd w:val="clear" w:color="auto" w:fill="auto"/>
          </w:tcPr>
          <w:p w:rsidR="00795F47" w:rsidRDefault="00B666DF">
            <w:pPr>
              <w:widowControl w:val="0"/>
              <w:spacing w:before="120" w:after="120"/>
              <w:ind w:left="720" w:firstLine="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rsidR="00795F47" w:rsidRDefault="00B666DF">
            <w:pPr>
              <w:widowControl w:val="0"/>
              <w:numPr>
                <w:ilvl w:val="0"/>
                <w:numId w:val="2"/>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795F47">
        <w:tc>
          <w:tcPr>
            <w:tcW w:w="3404" w:type="dxa"/>
            <w:shd w:val="clear" w:color="auto" w:fill="auto"/>
          </w:tcPr>
          <w:p w:rsidR="00795F47" w:rsidRDefault="00795F47">
            <w:pPr>
              <w:widowControl w:val="0"/>
              <w:spacing w:before="120" w:after="120"/>
              <w:ind w:left="720" w:firstLine="0"/>
              <w:rPr>
                <w:rFonts w:ascii="Arial" w:eastAsia="Arial" w:hAnsi="Arial"/>
                <w:b/>
                <w:sz w:val="24"/>
                <w:szCs w:val="24"/>
              </w:rPr>
            </w:pPr>
          </w:p>
        </w:tc>
        <w:tc>
          <w:tcPr>
            <w:tcW w:w="5622" w:type="dxa"/>
            <w:shd w:val="clear" w:color="auto" w:fill="auto"/>
          </w:tcPr>
          <w:p w:rsidR="00795F47" w:rsidRDefault="00B666DF">
            <w:pPr>
              <w:widowControl w:val="0"/>
              <w:numPr>
                <w:ilvl w:val="0"/>
                <w:numId w:val="2"/>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795F47" w:rsidRDefault="00B666DF">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795F47">
        <w:tc>
          <w:tcPr>
            <w:tcW w:w="3404" w:type="dxa"/>
            <w:shd w:val="clear" w:color="auto" w:fill="auto"/>
          </w:tcPr>
          <w:p w:rsidR="00795F47" w:rsidRDefault="00B666DF">
            <w:pPr>
              <w:widowControl w:val="0"/>
              <w:spacing w:before="120" w:after="120"/>
              <w:ind w:left="720" w:firstLine="0"/>
              <w:rPr>
                <w:rFonts w:ascii="Arial" w:eastAsia="Arial" w:hAnsi="Arial"/>
                <w:b/>
                <w:sz w:val="24"/>
                <w:szCs w:val="24"/>
              </w:rPr>
            </w:pPr>
            <w:r>
              <w:rPr>
                <w:rFonts w:ascii="Arial" w:eastAsia="Arial" w:hAnsi="Arial"/>
                <w:b/>
                <w:sz w:val="24"/>
                <w:szCs w:val="24"/>
              </w:rPr>
              <w:lastRenderedPageBreak/>
              <w:t>"CSPS"</w:t>
            </w:r>
          </w:p>
        </w:tc>
        <w:tc>
          <w:tcPr>
            <w:tcW w:w="5622" w:type="dxa"/>
            <w:shd w:val="clear" w:color="auto" w:fill="auto"/>
          </w:tcPr>
          <w:p w:rsidR="00795F47" w:rsidRDefault="00B666DF">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795F47">
        <w:tc>
          <w:tcPr>
            <w:tcW w:w="3404" w:type="dxa"/>
            <w:shd w:val="clear" w:color="auto" w:fill="auto"/>
          </w:tcPr>
          <w:p w:rsidR="00795F47" w:rsidRDefault="00B666DF">
            <w:pPr>
              <w:widowControl w:val="0"/>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rsidR="00795F47" w:rsidRDefault="00B666DF">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rsidR="00795F47" w:rsidRDefault="00795F47">
            <w:pPr>
              <w:widowControl w:val="0"/>
              <w:spacing w:before="120" w:after="120"/>
              <w:rPr>
                <w:rFonts w:ascii="Arial" w:eastAsia="Arial" w:hAnsi="Arial"/>
                <w:sz w:val="24"/>
                <w:szCs w:val="24"/>
              </w:rPr>
            </w:pPr>
          </w:p>
        </w:tc>
      </w:tr>
      <w:tr w:rsidR="00795F47">
        <w:tc>
          <w:tcPr>
            <w:tcW w:w="3404" w:type="dxa"/>
            <w:shd w:val="clear" w:color="auto" w:fill="auto"/>
          </w:tcPr>
          <w:p w:rsidR="00795F47" w:rsidRDefault="00B666DF">
            <w:pPr>
              <w:widowControl w:val="0"/>
              <w:spacing w:before="120" w:after="120"/>
              <w:ind w:left="720" w:firstLine="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rsidR="00795F47" w:rsidRDefault="00B666DF">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795F47" w:rsidRDefault="00795F47">
            <w:pPr>
              <w:widowControl w:val="0"/>
              <w:spacing w:before="120" w:after="120"/>
              <w:rPr>
                <w:rFonts w:ascii="Arial" w:eastAsia="Arial" w:hAnsi="Arial"/>
                <w:sz w:val="24"/>
                <w:szCs w:val="24"/>
              </w:rPr>
            </w:pPr>
          </w:p>
        </w:tc>
      </w:tr>
      <w:tr w:rsidR="00795F47">
        <w:tc>
          <w:tcPr>
            <w:tcW w:w="3404" w:type="dxa"/>
            <w:shd w:val="clear" w:color="auto" w:fill="auto"/>
          </w:tcPr>
          <w:p w:rsidR="00795F47" w:rsidRDefault="00B666DF">
            <w:pPr>
              <w:widowControl w:val="0"/>
              <w:spacing w:before="120" w:after="120"/>
              <w:ind w:left="720" w:firstLine="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rsidR="00795F47" w:rsidRDefault="00B666DF">
            <w:pPr>
              <w:widowControl w:val="0"/>
              <w:spacing w:before="120" w:after="120"/>
              <w:rPr>
                <w:rFonts w:ascii="Arial" w:eastAsia="Arial" w:hAnsi="Arial"/>
                <w:sz w:val="24"/>
                <w:szCs w:val="24"/>
              </w:rPr>
            </w:pPr>
            <w:r>
              <w:rPr>
                <w:rFonts w:ascii="Arial" w:eastAsia="Arial" w:hAnsi="Arial"/>
                <w:sz w:val="24"/>
                <w:szCs w:val="24"/>
              </w:rPr>
              <w:t>any of:</w:t>
            </w:r>
          </w:p>
          <w:p w:rsidR="00795F47" w:rsidRDefault="00B666DF">
            <w:pPr>
              <w:widowControl w:val="0"/>
              <w:numPr>
                <w:ilvl w:val="0"/>
                <w:numId w:val="1"/>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795F47">
        <w:tc>
          <w:tcPr>
            <w:tcW w:w="3404" w:type="dxa"/>
            <w:shd w:val="clear" w:color="auto" w:fill="auto"/>
          </w:tcPr>
          <w:p w:rsidR="00795F47" w:rsidRDefault="00795F47">
            <w:pPr>
              <w:widowControl w:val="0"/>
              <w:spacing w:before="120" w:after="120"/>
              <w:ind w:left="720" w:firstLine="0"/>
              <w:rPr>
                <w:rFonts w:ascii="Arial" w:eastAsia="Arial" w:hAnsi="Arial"/>
                <w:b/>
                <w:sz w:val="24"/>
                <w:szCs w:val="24"/>
              </w:rPr>
            </w:pPr>
          </w:p>
        </w:tc>
        <w:tc>
          <w:tcPr>
            <w:tcW w:w="5622" w:type="dxa"/>
            <w:shd w:val="clear" w:color="auto" w:fill="auto"/>
          </w:tcPr>
          <w:p w:rsidR="00795F47" w:rsidRDefault="00B666DF">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795F47">
        <w:tc>
          <w:tcPr>
            <w:tcW w:w="3404" w:type="dxa"/>
            <w:shd w:val="clear" w:color="auto" w:fill="auto"/>
          </w:tcPr>
          <w:p w:rsidR="00795F47" w:rsidRDefault="00795F47">
            <w:pPr>
              <w:widowControl w:val="0"/>
              <w:spacing w:before="120" w:after="120"/>
              <w:ind w:left="720" w:firstLine="0"/>
              <w:rPr>
                <w:rFonts w:ascii="Arial" w:eastAsia="Arial" w:hAnsi="Arial"/>
                <w:b/>
                <w:sz w:val="24"/>
                <w:szCs w:val="24"/>
              </w:rPr>
            </w:pPr>
          </w:p>
        </w:tc>
        <w:tc>
          <w:tcPr>
            <w:tcW w:w="5622" w:type="dxa"/>
            <w:shd w:val="clear" w:color="auto" w:fill="auto"/>
          </w:tcPr>
          <w:p w:rsidR="00795F47" w:rsidRDefault="00B666DF">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795F47">
        <w:tc>
          <w:tcPr>
            <w:tcW w:w="3404" w:type="dxa"/>
            <w:shd w:val="clear" w:color="auto" w:fill="auto"/>
          </w:tcPr>
          <w:p w:rsidR="00795F47" w:rsidRDefault="00795F47">
            <w:pPr>
              <w:keepNext/>
              <w:widowControl w:val="0"/>
              <w:spacing w:before="120" w:after="120"/>
              <w:ind w:left="720" w:firstLine="0"/>
              <w:rPr>
                <w:rFonts w:ascii="Arial" w:eastAsia="Arial" w:hAnsi="Arial"/>
                <w:b/>
                <w:sz w:val="24"/>
                <w:szCs w:val="24"/>
              </w:rPr>
            </w:pPr>
          </w:p>
        </w:tc>
        <w:tc>
          <w:tcPr>
            <w:tcW w:w="5622" w:type="dxa"/>
            <w:shd w:val="clear" w:color="auto" w:fill="auto"/>
          </w:tcPr>
          <w:p w:rsidR="00795F47" w:rsidRDefault="00B666DF">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795F47">
        <w:tc>
          <w:tcPr>
            <w:tcW w:w="3404" w:type="dxa"/>
            <w:shd w:val="clear" w:color="auto" w:fill="auto"/>
          </w:tcPr>
          <w:p w:rsidR="00795F47" w:rsidRDefault="00795F47">
            <w:pPr>
              <w:widowControl w:val="0"/>
              <w:spacing w:before="120" w:after="120"/>
              <w:ind w:left="720" w:firstLine="0"/>
              <w:rPr>
                <w:rFonts w:ascii="Arial" w:eastAsia="Arial" w:hAnsi="Arial"/>
                <w:b/>
                <w:sz w:val="24"/>
                <w:szCs w:val="24"/>
              </w:rPr>
            </w:pPr>
          </w:p>
        </w:tc>
        <w:tc>
          <w:tcPr>
            <w:tcW w:w="5622" w:type="dxa"/>
            <w:shd w:val="clear" w:color="auto" w:fill="auto"/>
          </w:tcPr>
          <w:p w:rsidR="00795F47" w:rsidRDefault="00B666DF">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795F47">
        <w:tc>
          <w:tcPr>
            <w:tcW w:w="3404" w:type="dxa"/>
            <w:shd w:val="clear" w:color="auto" w:fill="auto"/>
          </w:tcPr>
          <w:p w:rsidR="00795F47" w:rsidRDefault="00795F47">
            <w:pPr>
              <w:widowControl w:val="0"/>
              <w:spacing w:before="120" w:after="120"/>
              <w:ind w:left="720" w:firstLine="0"/>
              <w:rPr>
                <w:rFonts w:ascii="Arial" w:eastAsia="Arial" w:hAnsi="Arial"/>
                <w:b/>
                <w:sz w:val="24"/>
                <w:szCs w:val="24"/>
              </w:rPr>
            </w:pPr>
          </w:p>
        </w:tc>
        <w:tc>
          <w:tcPr>
            <w:tcW w:w="5622" w:type="dxa"/>
            <w:shd w:val="clear" w:color="auto" w:fill="auto"/>
          </w:tcPr>
          <w:p w:rsidR="00795F47" w:rsidRDefault="00795F47">
            <w:pPr>
              <w:widowControl w:val="0"/>
              <w:spacing w:before="120" w:after="120"/>
              <w:rPr>
                <w:rFonts w:ascii="Arial" w:eastAsia="Arial" w:hAnsi="Arial"/>
                <w:sz w:val="24"/>
                <w:szCs w:val="24"/>
              </w:rPr>
            </w:pPr>
          </w:p>
        </w:tc>
      </w:tr>
      <w:tr w:rsidR="00795F47">
        <w:tc>
          <w:tcPr>
            <w:tcW w:w="3404" w:type="dxa"/>
            <w:shd w:val="clear" w:color="auto" w:fill="auto"/>
          </w:tcPr>
          <w:p w:rsidR="00795F47" w:rsidRDefault="00B666DF">
            <w:pPr>
              <w:widowControl w:val="0"/>
              <w:spacing w:before="120" w:after="120"/>
              <w:ind w:left="720" w:firstLine="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rsidR="00795F47" w:rsidRDefault="00B666DF">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795F47">
        <w:tc>
          <w:tcPr>
            <w:tcW w:w="3404" w:type="dxa"/>
            <w:shd w:val="clear" w:color="auto" w:fill="auto"/>
          </w:tcPr>
          <w:p w:rsidR="00795F47" w:rsidRDefault="00B666DF">
            <w:pPr>
              <w:widowControl w:val="0"/>
              <w:spacing w:before="120" w:after="120"/>
              <w:ind w:left="720" w:firstLine="0"/>
              <w:rPr>
                <w:rFonts w:ascii="Arial" w:eastAsia="Arial" w:hAnsi="Arial"/>
                <w:b/>
                <w:sz w:val="24"/>
                <w:szCs w:val="24"/>
              </w:rPr>
            </w:pPr>
            <w:r>
              <w:rPr>
                <w:rFonts w:ascii="Arial" w:eastAsia="Arial" w:hAnsi="Arial"/>
                <w:b/>
                <w:sz w:val="24"/>
                <w:szCs w:val="24"/>
              </w:rPr>
              <w:t>"LGPS"</w:t>
            </w:r>
          </w:p>
        </w:tc>
        <w:tc>
          <w:tcPr>
            <w:tcW w:w="5622" w:type="dxa"/>
            <w:shd w:val="clear" w:color="auto" w:fill="auto"/>
          </w:tcPr>
          <w:p w:rsidR="00795F47" w:rsidRDefault="00B666DF">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795F47">
        <w:tc>
          <w:tcPr>
            <w:tcW w:w="3404" w:type="dxa"/>
            <w:shd w:val="clear" w:color="auto" w:fill="auto"/>
          </w:tcPr>
          <w:p w:rsidR="00795F47" w:rsidRDefault="00B666DF">
            <w:pPr>
              <w:widowControl w:val="0"/>
              <w:spacing w:before="120" w:after="120"/>
              <w:ind w:left="720" w:firstLine="0"/>
              <w:rPr>
                <w:rFonts w:ascii="Arial" w:eastAsia="Arial" w:hAnsi="Arial"/>
                <w:b/>
                <w:sz w:val="24"/>
                <w:szCs w:val="24"/>
              </w:rPr>
            </w:pPr>
            <w:r>
              <w:rPr>
                <w:rFonts w:ascii="Arial" w:eastAsia="Arial" w:hAnsi="Arial"/>
                <w:b/>
                <w:sz w:val="24"/>
                <w:szCs w:val="24"/>
              </w:rPr>
              <w:lastRenderedPageBreak/>
              <w:t>"NHSPS"</w:t>
            </w:r>
          </w:p>
        </w:tc>
        <w:tc>
          <w:tcPr>
            <w:tcW w:w="5622" w:type="dxa"/>
            <w:shd w:val="clear" w:color="auto" w:fill="auto"/>
          </w:tcPr>
          <w:p w:rsidR="00795F47" w:rsidRDefault="00B666DF">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795F47">
        <w:tc>
          <w:tcPr>
            <w:tcW w:w="3404" w:type="dxa"/>
            <w:shd w:val="clear" w:color="auto" w:fill="auto"/>
          </w:tcPr>
          <w:p w:rsidR="00795F47" w:rsidRDefault="00795F47">
            <w:pPr>
              <w:widowControl w:val="0"/>
              <w:spacing w:before="120" w:after="120"/>
              <w:ind w:left="720" w:firstLine="0"/>
              <w:rPr>
                <w:rFonts w:ascii="Arial" w:eastAsia="Arial" w:hAnsi="Arial"/>
                <w:b/>
                <w:sz w:val="24"/>
                <w:szCs w:val="24"/>
              </w:rPr>
            </w:pPr>
          </w:p>
        </w:tc>
        <w:tc>
          <w:tcPr>
            <w:tcW w:w="5622" w:type="dxa"/>
            <w:shd w:val="clear" w:color="auto" w:fill="auto"/>
          </w:tcPr>
          <w:p w:rsidR="00795F47" w:rsidRDefault="00795F47">
            <w:pPr>
              <w:widowControl w:val="0"/>
              <w:numPr>
                <w:ilvl w:val="0"/>
                <w:numId w:val="11"/>
              </w:numPr>
              <w:tabs>
                <w:tab w:val="left" w:pos="695"/>
              </w:tabs>
              <w:spacing w:before="120" w:after="120"/>
              <w:ind w:left="743" w:hanging="709"/>
              <w:rPr>
                <w:rFonts w:ascii="Arial" w:eastAsia="Arial" w:hAnsi="Arial"/>
                <w:sz w:val="24"/>
                <w:szCs w:val="24"/>
              </w:rPr>
            </w:pPr>
          </w:p>
        </w:tc>
      </w:tr>
      <w:tr w:rsidR="00795F47">
        <w:tc>
          <w:tcPr>
            <w:tcW w:w="3404" w:type="dxa"/>
            <w:shd w:val="clear" w:color="auto" w:fill="auto"/>
          </w:tcPr>
          <w:p w:rsidR="00795F47" w:rsidRDefault="00795F47">
            <w:pPr>
              <w:widowControl w:val="0"/>
              <w:spacing w:before="120" w:after="120"/>
              <w:ind w:left="720" w:firstLine="0"/>
              <w:rPr>
                <w:rFonts w:ascii="Arial" w:eastAsia="Arial" w:hAnsi="Arial"/>
                <w:b/>
                <w:sz w:val="24"/>
                <w:szCs w:val="24"/>
              </w:rPr>
            </w:pPr>
          </w:p>
        </w:tc>
        <w:tc>
          <w:tcPr>
            <w:tcW w:w="5622" w:type="dxa"/>
            <w:shd w:val="clear" w:color="auto" w:fill="auto"/>
          </w:tcPr>
          <w:p w:rsidR="00795F47" w:rsidRDefault="00795F47">
            <w:pPr>
              <w:widowControl w:val="0"/>
              <w:numPr>
                <w:ilvl w:val="0"/>
                <w:numId w:val="11"/>
              </w:numPr>
              <w:tabs>
                <w:tab w:val="left" w:pos="695"/>
              </w:tabs>
              <w:spacing w:before="120" w:after="120"/>
              <w:ind w:left="695" w:hanging="646"/>
              <w:rPr>
                <w:rFonts w:ascii="Arial" w:eastAsia="Arial" w:hAnsi="Arial"/>
                <w:sz w:val="24"/>
                <w:szCs w:val="24"/>
              </w:rPr>
            </w:pPr>
          </w:p>
        </w:tc>
      </w:tr>
      <w:tr w:rsidR="00795F47">
        <w:tc>
          <w:tcPr>
            <w:tcW w:w="3404" w:type="dxa"/>
            <w:shd w:val="clear" w:color="auto" w:fill="auto"/>
          </w:tcPr>
          <w:p w:rsidR="00795F47" w:rsidRDefault="00B666DF">
            <w:pPr>
              <w:widowControl w:val="0"/>
              <w:spacing w:before="120" w:after="120"/>
              <w:ind w:left="720" w:firstLine="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rsidR="00795F47" w:rsidRDefault="00B666DF">
            <w:pPr>
              <w:spacing w:before="120" w:after="120"/>
              <w:rPr>
                <w:rFonts w:ascii="Arial" w:eastAsia="Arial" w:hAnsi="Arial"/>
                <w:sz w:val="24"/>
                <w:szCs w:val="24"/>
              </w:rPr>
            </w:pPr>
            <w:r>
              <w:rPr>
                <w:rFonts w:ascii="Arial" w:eastAsia="Arial" w:hAnsi="Arial"/>
                <w:sz w:val="24"/>
                <w:szCs w:val="24"/>
              </w:rPr>
              <w:t>means the CSPS, NHSPS or LGPS.</w:t>
            </w:r>
          </w:p>
        </w:tc>
      </w:tr>
    </w:tbl>
    <w:p w:rsidR="00795F47" w:rsidRDefault="00B666DF">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rsidR="00795F47" w:rsidRDefault="00B666D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795F47" w:rsidRDefault="00B666D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795F47" w:rsidRDefault="00B666D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rsidR="00795F47" w:rsidRDefault="00B666DF">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Supplier obligation to provide information</w:t>
      </w:r>
    </w:p>
    <w:p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rsidR="00795F47" w:rsidRDefault="00B666DF">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rsidR="00795F47" w:rsidRDefault="00B666D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rsidR="00795F47" w:rsidRDefault="00B666D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Subcontractor:</w:t>
      </w:r>
    </w:p>
    <w:p w:rsidR="00795F47" w:rsidRDefault="00B666DF">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795F47" w:rsidRDefault="00B666DF">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lastRenderedPageBreak/>
        <w:t>arise out of the failure of the Supplier and/or any relevant Subcontractor to comply with the provisions of this Part D before the date of termination or expiry of the relevant Contract; and/or</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  Employee to join or claim membership of the NHSPS at any time during the Term.</w:t>
      </w:r>
    </w:p>
    <w:p w:rsidR="00795F47" w:rsidRDefault="00795F47">
      <w:pPr>
        <w:pBdr>
          <w:top w:val="nil"/>
          <w:left w:val="nil"/>
          <w:bottom w:val="nil"/>
          <w:right w:val="nil"/>
          <w:between w:val="nil"/>
        </w:pBdr>
        <w:spacing w:before="120" w:after="120"/>
        <w:ind w:left="2214" w:hanging="1080"/>
        <w:rPr>
          <w:color w:val="000000"/>
        </w:rPr>
      </w:pPr>
    </w:p>
    <w:p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795F47" w:rsidRDefault="00B666DF">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rsidR="00795F47" w:rsidRDefault="00B666D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795F47" w:rsidRDefault="00B666DF">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rsidR="00795F47" w:rsidRDefault="00B666D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795F47" w:rsidRDefault="00B666DF">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795F47" w:rsidRDefault="00B666DF">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795F47" w:rsidRDefault="00B666DF">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795F47" w:rsidRDefault="00B666DF">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795F47" w:rsidRDefault="00795F47">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795F47" w:rsidRDefault="00B666DF">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795F47" w:rsidRDefault="00795F47">
      <w:pPr>
        <w:pBdr>
          <w:top w:val="nil"/>
          <w:left w:val="nil"/>
          <w:bottom w:val="nil"/>
          <w:right w:val="nil"/>
          <w:between w:val="nil"/>
        </w:pBdr>
        <w:tabs>
          <w:tab w:val="left" w:pos="993"/>
        </w:tabs>
        <w:spacing w:before="120" w:after="120"/>
        <w:ind w:left="720" w:hanging="720"/>
        <w:rPr>
          <w:color w:val="000000"/>
        </w:rPr>
      </w:pPr>
    </w:p>
    <w:p w:rsidR="00795F47" w:rsidRDefault="00B666DF">
      <w:pPr>
        <w:keepNext/>
        <w:numPr>
          <w:ilvl w:val="0"/>
          <w:numId w:val="1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795F47" w:rsidRDefault="00B666DF">
      <w:pPr>
        <w:keepNext/>
        <w:numPr>
          <w:ilvl w:val="0"/>
          <w:numId w:val="13"/>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795F47" w:rsidRDefault="00B666DF">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795F47" w:rsidRDefault="00B666DF">
      <w:pPr>
        <w:pStyle w:val="Heading4"/>
        <w:ind w:left="709"/>
        <w:rPr>
          <w:rFonts w:ascii="Arial" w:eastAsia="Arial" w:hAnsi="Arial"/>
          <w:sz w:val="24"/>
          <w:szCs w:val="24"/>
        </w:rPr>
      </w:pPr>
      <w:bookmarkStart w:id="43" w:name="_heading=h.4f1mdlm" w:colFirst="0" w:colLast="0"/>
      <w:bookmarkEnd w:id="43"/>
      <w:r>
        <w:rPr>
          <w:rFonts w:ascii="Arial" w:eastAsia="Arial" w:hAnsi="Arial"/>
          <w:sz w:val="24"/>
          <w:szCs w:val="24"/>
        </w:rPr>
        <w:t xml:space="preserve">and shall pay such set off amount to the relevant Statutory Scheme. </w:t>
      </w:r>
    </w:p>
    <w:p w:rsidR="00795F47" w:rsidRDefault="00B666DF">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rsidR="00795F47" w:rsidRDefault="00B666DF">
      <w:pPr>
        <w:rPr>
          <w:rFonts w:ascii="Arial Bold" w:eastAsia="Arial Bold" w:hAnsi="Arial Bold" w:cs="Arial Bold"/>
          <w:b/>
          <w:sz w:val="36"/>
          <w:szCs w:val="36"/>
        </w:rPr>
      </w:pPr>
      <w:r>
        <w:br w:type="page"/>
      </w:r>
      <w:r>
        <w:rPr>
          <w:rFonts w:ascii="Arial Bold" w:eastAsia="Arial Bold" w:hAnsi="Arial Bold" w:cs="Arial Bold"/>
          <w:b/>
          <w:sz w:val="36"/>
          <w:szCs w:val="36"/>
        </w:rPr>
        <w:t xml:space="preserve">Annex D1: </w:t>
      </w:r>
    </w:p>
    <w:p w:rsidR="00795F47" w:rsidRDefault="00B666DF">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rsidR="00795F47" w:rsidRDefault="00B666DF">
      <w:pPr>
        <w:keepNext/>
        <w:numPr>
          <w:ilvl w:val="0"/>
          <w:numId w:val="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795F47" w:rsidRDefault="00B666DF">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6"/>
        <w:tblW w:w="93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795F47">
        <w:tc>
          <w:tcPr>
            <w:tcW w:w="2835" w:type="dxa"/>
          </w:tcPr>
          <w:p w:rsidR="00795F47" w:rsidRDefault="00B666DF">
            <w:pPr>
              <w:spacing w:before="120" w:after="120"/>
              <w:ind w:left="709" w:firstLine="0"/>
              <w:rPr>
                <w:rFonts w:ascii="Arial" w:eastAsia="Arial" w:hAnsi="Arial"/>
                <w:b/>
                <w:sz w:val="24"/>
                <w:szCs w:val="24"/>
              </w:rPr>
            </w:pPr>
            <w:r>
              <w:rPr>
                <w:rFonts w:ascii="Arial" w:eastAsia="Arial" w:hAnsi="Arial"/>
                <w:b/>
                <w:sz w:val="24"/>
                <w:szCs w:val="24"/>
              </w:rPr>
              <w:t>"CSPS Admission Agreement"</w:t>
            </w:r>
          </w:p>
        </w:tc>
        <w:tc>
          <w:tcPr>
            <w:tcW w:w="6543" w:type="dxa"/>
          </w:tcPr>
          <w:p w:rsidR="00795F47" w:rsidRDefault="00B666DF">
            <w:pPr>
              <w:tabs>
                <w:tab w:val="left" w:pos="235"/>
              </w:tabs>
              <w:spacing w:before="120" w:after="120"/>
              <w:rPr>
                <w:rFonts w:ascii="Arial" w:eastAsia="Arial" w:hAnsi="Arial"/>
                <w:sz w:val="24"/>
                <w:szCs w:val="24"/>
              </w:rPr>
            </w:pPr>
            <w:r>
              <w:rPr>
                <w:rFonts w:ascii="Arial" w:eastAsia="Arial" w:hAnsi="Arial"/>
                <w:sz w:val="24"/>
                <w:szCs w:val="24"/>
              </w:rPr>
              <w:t>an admission agreement in the form available on the Civil Service Pensions website immediately prior to the Relevant Transfer Date to be entered into for the CSPS in respect of the Services;</w:t>
            </w:r>
          </w:p>
        </w:tc>
      </w:tr>
      <w:tr w:rsidR="00795F47">
        <w:tc>
          <w:tcPr>
            <w:tcW w:w="2835" w:type="dxa"/>
          </w:tcPr>
          <w:p w:rsidR="00795F47" w:rsidRDefault="00B666DF">
            <w:pPr>
              <w:spacing w:before="120" w:after="120"/>
              <w:ind w:left="709" w:firstLine="0"/>
              <w:rPr>
                <w:rFonts w:ascii="Arial" w:eastAsia="Arial" w:hAnsi="Arial"/>
                <w:b/>
                <w:sz w:val="24"/>
                <w:szCs w:val="24"/>
              </w:rPr>
            </w:pPr>
            <w:r>
              <w:rPr>
                <w:rFonts w:ascii="Arial" w:eastAsia="Arial" w:hAnsi="Arial"/>
                <w:b/>
                <w:sz w:val="24"/>
                <w:szCs w:val="24"/>
              </w:rPr>
              <w:t>"CSPS Eligible Employee"</w:t>
            </w:r>
          </w:p>
        </w:tc>
        <w:tc>
          <w:tcPr>
            <w:tcW w:w="6543" w:type="dxa"/>
          </w:tcPr>
          <w:p w:rsidR="00795F47" w:rsidRDefault="00B666DF">
            <w:pPr>
              <w:tabs>
                <w:tab w:val="left" w:pos="235"/>
              </w:tabs>
              <w:spacing w:before="120" w:after="120"/>
              <w:rPr>
                <w:rFonts w:ascii="Arial" w:eastAsia="Arial" w:hAnsi="Arial"/>
                <w:sz w:val="24"/>
                <w:szCs w:val="24"/>
              </w:rPr>
            </w:pPr>
            <w:r>
              <w:rPr>
                <w:rFonts w:ascii="Arial" w:eastAsia="Arial" w:hAnsi="Arial"/>
                <w:sz w:val="24"/>
                <w:szCs w:val="24"/>
              </w:rPr>
              <w:t>any CSPS Fair Deal Employee who at the relevant time is an active member or eligible to participate in the CSPS under a CSPS Admission Agreement;</w:t>
            </w:r>
          </w:p>
        </w:tc>
      </w:tr>
      <w:tr w:rsidR="00795F47">
        <w:tc>
          <w:tcPr>
            <w:tcW w:w="2835" w:type="dxa"/>
          </w:tcPr>
          <w:p w:rsidR="00795F47" w:rsidRDefault="00B666DF">
            <w:pPr>
              <w:spacing w:before="120" w:after="120"/>
              <w:ind w:left="709" w:firstLine="0"/>
              <w:rPr>
                <w:rFonts w:ascii="Arial" w:eastAsia="Arial" w:hAnsi="Arial"/>
                <w:b/>
                <w:sz w:val="24"/>
                <w:szCs w:val="24"/>
              </w:rPr>
            </w:pPr>
            <w:r>
              <w:rPr>
                <w:rFonts w:ascii="Arial" w:eastAsia="Arial" w:hAnsi="Arial"/>
                <w:b/>
                <w:sz w:val="24"/>
                <w:szCs w:val="24"/>
              </w:rPr>
              <w:t>“CSPS Fair Deal Employee”</w:t>
            </w:r>
          </w:p>
        </w:tc>
        <w:tc>
          <w:tcPr>
            <w:tcW w:w="6543" w:type="dxa"/>
          </w:tcPr>
          <w:p w:rsidR="00795F47" w:rsidRDefault="00B666DF">
            <w:pPr>
              <w:tabs>
                <w:tab w:val="left" w:pos="235"/>
              </w:tabs>
              <w:spacing w:before="120" w:after="120"/>
              <w:rPr>
                <w:rFonts w:ascii="Arial" w:eastAsia="Arial" w:hAnsi="Arial"/>
                <w:sz w:val="24"/>
                <w:szCs w:val="24"/>
              </w:rPr>
            </w:pPr>
            <w:r>
              <w:rPr>
                <w:rFonts w:ascii="Arial" w:eastAsia="Arial" w:hAnsi="Arial"/>
                <w:sz w:val="24"/>
                <w:szCs w:val="24"/>
              </w:rPr>
              <w:t xml:space="preserve">a Fair Deal Employee who at the Relevant Transfer Date is or becomes entitled to protection in respect of the CSPS in accordance with the provisions of New Fair Deal; </w:t>
            </w:r>
          </w:p>
        </w:tc>
      </w:tr>
      <w:tr w:rsidR="00795F47">
        <w:tc>
          <w:tcPr>
            <w:tcW w:w="2835" w:type="dxa"/>
          </w:tcPr>
          <w:p w:rsidR="00795F47" w:rsidRDefault="00B666DF">
            <w:pPr>
              <w:spacing w:after="120"/>
              <w:ind w:left="709" w:firstLine="0"/>
              <w:rPr>
                <w:rFonts w:ascii="Arial" w:eastAsia="Arial" w:hAnsi="Arial"/>
                <w:sz w:val="24"/>
                <w:szCs w:val="24"/>
              </w:rPr>
            </w:pPr>
            <w:r>
              <w:rPr>
                <w:rFonts w:ascii="Arial" w:eastAsia="Arial" w:hAnsi="Arial"/>
                <w:b/>
                <w:sz w:val="24"/>
                <w:szCs w:val="24"/>
              </w:rPr>
              <w:t>"CSPS"</w:t>
            </w:r>
          </w:p>
        </w:tc>
        <w:tc>
          <w:tcPr>
            <w:tcW w:w="6543" w:type="dxa"/>
          </w:tcPr>
          <w:p w:rsidR="00795F47" w:rsidRDefault="00B666DF">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rsidR="00795F47" w:rsidRDefault="00B666DF">
      <w:pPr>
        <w:keepNext/>
        <w:numPr>
          <w:ilvl w:val="0"/>
          <w:numId w:val="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rsidR="00795F47" w:rsidRDefault="00B666DF">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795F47" w:rsidRDefault="00B666DF">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4" w:name="_heading=h.2u6wntf" w:colFirst="0" w:colLast="0"/>
      <w:bookmarkEnd w:id="44"/>
      <w:r>
        <w:rPr>
          <w:rFonts w:ascii="Arial" w:eastAsia="Arial" w:hAnsi="Arial"/>
          <w:color w:val="000000"/>
          <w:sz w:val="24"/>
          <w:szCs w:val="24"/>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795F47" w:rsidRDefault="00795F47">
      <w:pPr>
        <w:rPr>
          <w:rFonts w:ascii="Arial" w:eastAsia="Arial" w:hAnsi="Arial"/>
          <w:sz w:val="24"/>
          <w:szCs w:val="24"/>
        </w:rPr>
      </w:pPr>
    </w:p>
    <w:p w:rsidR="00795F47" w:rsidRDefault="00B666DF">
      <w:pPr>
        <w:rPr>
          <w:rFonts w:ascii="Arial Bold" w:eastAsia="Arial Bold" w:hAnsi="Arial Bold" w:cs="Arial Bold"/>
          <w:sz w:val="36"/>
          <w:szCs w:val="36"/>
        </w:rPr>
      </w:pPr>
      <w:r>
        <w:br w:type="page"/>
      </w:r>
      <w:r>
        <w:rPr>
          <w:rFonts w:ascii="Arial Bold" w:eastAsia="Arial Bold" w:hAnsi="Arial Bold" w:cs="Arial Bold"/>
          <w:b/>
          <w:sz w:val="36"/>
          <w:szCs w:val="36"/>
        </w:rPr>
        <w:t>Annex D2: NHS Pension Schemes</w:t>
      </w:r>
    </w:p>
    <w:p w:rsidR="00795F47" w:rsidRDefault="00B666DF">
      <w:pPr>
        <w:keepNext/>
        <w:numPr>
          <w:ilvl w:val="0"/>
          <w:numId w:val="4"/>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795F47" w:rsidRDefault="00B666DF">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7"/>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29"/>
      </w:tblGrid>
      <w:tr w:rsidR="00795F47">
        <w:tc>
          <w:tcPr>
            <w:tcW w:w="3397" w:type="dxa"/>
          </w:tcPr>
          <w:p w:rsidR="00795F47" w:rsidRDefault="00B666DF">
            <w:pPr>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9" w:type="dxa"/>
          </w:tcPr>
          <w:p w:rsidR="00795F47" w:rsidRDefault="00B666DF">
            <w:pPr>
              <w:tabs>
                <w:tab w:val="left" w:pos="235"/>
              </w:tabs>
              <w:spacing w:before="120" w:after="120"/>
              <w:rPr>
                <w:rFonts w:ascii="Arial" w:eastAsia="Arial" w:hAnsi="Arial"/>
                <w:sz w:val="24"/>
                <w:szCs w:val="24"/>
              </w:rPr>
            </w:pPr>
            <w:r>
              <w:rPr>
                <w:rFonts w:ascii="Arial" w:eastAsia="Arial" w:hAnsi="Arial"/>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795F47">
        <w:tc>
          <w:tcPr>
            <w:tcW w:w="3397" w:type="dxa"/>
          </w:tcPr>
          <w:p w:rsidR="00795F47" w:rsidRDefault="00B666DF">
            <w:pPr>
              <w:spacing w:before="120" w:after="120"/>
              <w:ind w:left="720" w:firstLine="0"/>
              <w:rPr>
                <w:rFonts w:ascii="Arial" w:eastAsia="Arial" w:hAnsi="Arial"/>
                <w:b/>
                <w:sz w:val="24"/>
                <w:szCs w:val="24"/>
              </w:rPr>
            </w:pPr>
            <w:r>
              <w:rPr>
                <w:rFonts w:ascii="Arial" w:eastAsia="Arial" w:hAnsi="Arial"/>
                <w:b/>
                <w:sz w:val="24"/>
                <w:szCs w:val="24"/>
              </w:rPr>
              <w:t>“NHS Broadly Comparable Employees”</w:t>
            </w:r>
          </w:p>
        </w:tc>
        <w:tc>
          <w:tcPr>
            <w:tcW w:w="5629" w:type="dxa"/>
          </w:tcPr>
          <w:p w:rsidR="00795F47" w:rsidRDefault="00B666DF">
            <w:pPr>
              <w:tabs>
                <w:tab w:val="left" w:pos="235"/>
              </w:tabs>
              <w:rPr>
                <w:rFonts w:ascii="Arial" w:eastAsia="Arial" w:hAnsi="Arial"/>
                <w:sz w:val="24"/>
                <w:szCs w:val="24"/>
              </w:rPr>
            </w:pPr>
            <w:r>
              <w:rPr>
                <w:rFonts w:ascii="Arial" w:eastAsia="Arial" w:hAnsi="Arial"/>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rsidR="00795F47" w:rsidRDefault="00B666DF">
            <w:pPr>
              <w:tabs>
                <w:tab w:val="left" w:pos="743"/>
              </w:tabs>
              <w:ind w:left="720" w:hanging="720"/>
              <w:rPr>
                <w:rFonts w:ascii="Arial" w:eastAsia="Arial" w:hAnsi="Arial"/>
                <w:sz w:val="24"/>
                <w:szCs w:val="24"/>
              </w:rPr>
            </w:pPr>
            <w:r>
              <w:rPr>
                <w:rFonts w:ascii="Arial" w:eastAsia="Arial" w:hAnsi="Arial"/>
                <w:sz w:val="24"/>
                <w:szCs w:val="24"/>
              </w:rPr>
              <w:t>(a)     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p w:rsidR="00795F47" w:rsidRDefault="00B666DF">
            <w:pPr>
              <w:tabs>
                <w:tab w:val="left" w:pos="743"/>
              </w:tabs>
              <w:ind w:left="720" w:hanging="720"/>
              <w:rPr>
                <w:rFonts w:ascii="Arial" w:eastAsia="Arial" w:hAnsi="Arial"/>
                <w:sz w:val="24"/>
                <w:szCs w:val="24"/>
              </w:rPr>
            </w:pPr>
            <w:r>
              <w:rPr>
                <w:rFonts w:ascii="Arial" w:eastAsia="Arial" w:hAnsi="Arial"/>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795F47" w:rsidRDefault="00B666DF">
            <w:pPr>
              <w:tabs>
                <w:tab w:val="left" w:pos="235"/>
              </w:tabs>
              <w:spacing w:before="120" w:after="120"/>
              <w:rPr>
                <w:rFonts w:ascii="Arial" w:eastAsia="Arial" w:hAnsi="Arial"/>
                <w:sz w:val="24"/>
                <w:szCs w:val="24"/>
              </w:rPr>
            </w:pPr>
            <w:r>
              <w:rPr>
                <w:rFonts w:ascii="Arial" w:eastAsia="Arial" w:hAnsi="Arial"/>
                <w:sz w:val="24"/>
                <w:szCs w:val="24"/>
              </w:rPr>
              <w:t>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rsidR="00795F47">
        <w:tc>
          <w:tcPr>
            <w:tcW w:w="3397" w:type="dxa"/>
          </w:tcPr>
          <w:p w:rsidR="00795F47" w:rsidRDefault="00B666DF">
            <w:pPr>
              <w:spacing w:before="120" w:after="120"/>
              <w:ind w:left="720" w:firstLine="0"/>
              <w:rPr>
                <w:rFonts w:ascii="Arial" w:eastAsia="Arial" w:hAnsi="Arial"/>
                <w:b/>
                <w:sz w:val="24"/>
                <w:szCs w:val="24"/>
              </w:rPr>
            </w:pPr>
            <w:r>
              <w:rPr>
                <w:rFonts w:ascii="Arial" w:eastAsia="Arial" w:hAnsi="Arial"/>
                <w:b/>
                <w:sz w:val="24"/>
                <w:szCs w:val="24"/>
              </w:rPr>
              <w:t>"NHSPS Eligible Employees"</w:t>
            </w:r>
          </w:p>
        </w:tc>
        <w:tc>
          <w:tcPr>
            <w:tcW w:w="5629" w:type="dxa"/>
          </w:tcPr>
          <w:p w:rsidR="00795F47" w:rsidRDefault="00B666DF">
            <w:pPr>
              <w:tabs>
                <w:tab w:val="left" w:pos="235"/>
              </w:tabs>
              <w:spacing w:before="120" w:after="120"/>
              <w:rPr>
                <w:rFonts w:ascii="Arial" w:eastAsia="Arial" w:hAnsi="Arial"/>
                <w:sz w:val="24"/>
                <w:szCs w:val="24"/>
              </w:rPr>
            </w:pPr>
            <w:r>
              <w:rPr>
                <w:rFonts w:ascii="Arial" w:eastAsia="Arial" w:hAnsi="Arial"/>
                <w:sz w:val="24"/>
                <w:szCs w:val="24"/>
              </w:rPr>
              <w:t>any NHSPS Fair Deal Employee  who at the relevant time is an active member or eligible to participate in the NHSPS under a Direction Letter/Determination Letter.</w:t>
            </w:r>
          </w:p>
        </w:tc>
      </w:tr>
      <w:tr w:rsidR="00795F47">
        <w:tc>
          <w:tcPr>
            <w:tcW w:w="3397" w:type="dxa"/>
          </w:tcPr>
          <w:p w:rsidR="00795F47" w:rsidRDefault="00B666DF">
            <w:pPr>
              <w:spacing w:before="120" w:after="120"/>
              <w:ind w:left="720" w:firstLine="0"/>
              <w:rPr>
                <w:rFonts w:ascii="Arial" w:eastAsia="Arial" w:hAnsi="Arial"/>
                <w:b/>
                <w:sz w:val="24"/>
                <w:szCs w:val="24"/>
              </w:rPr>
            </w:pPr>
            <w:r>
              <w:rPr>
                <w:rFonts w:ascii="Arial" w:eastAsia="Arial" w:hAnsi="Arial"/>
                <w:b/>
                <w:sz w:val="24"/>
                <w:szCs w:val="24"/>
              </w:rPr>
              <w:t>"NHSPS Fair Deal  Employees"</w:t>
            </w:r>
          </w:p>
        </w:tc>
        <w:tc>
          <w:tcPr>
            <w:tcW w:w="5629" w:type="dxa"/>
          </w:tcPr>
          <w:p w:rsidR="00795F47" w:rsidRDefault="00B666DF">
            <w:pPr>
              <w:tabs>
                <w:tab w:val="left" w:pos="235"/>
              </w:tabs>
              <w:spacing w:before="120" w:after="120"/>
              <w:rPr>
                <w:rFonts w:ascii="Arial" w:eastAsia="Arial" w:hAnsi="Arial"/>
                <w:sz w:val="24"/>
                <w:szCs w:val="24"/>
              </w:rPr>
            </w:pPr>
            <w:r>
              <w:rPr>
                <w:rFonts w:ascii="Arial" w:eastAsia="Arial" w:hAnsi="Arial"/>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795F47">
        <w:tc>
          <w:tcPr>
            <w:tcW w:w="3397" w:type="dxa"/>
          </w:tcPr>
          <w:p w:rsidR="00795F47" w:rsidRDefault="00795F47">
            <w:pPr>
              <w:spacing w:before="120" w:after="120"/>
              <w:ind w:left="720" w:firstLine="0"/>
              <w:rPr>
                <w:rFonts w:ascii="Arial" w:eastAsia="Arial" w:hAnsi="Arial"/>
                <w:b/>
                <w:sz w:val="24"/>
                <w:szCs w:val="24"/>
              </w:rPr>
            </w:pPr>
          </w:p>
        </w:tc>
        <w:tc>
          <w:tcPr>
            <w:tcW w:w="5629" w:type="dxa"/>
          </w:tcPr>
          <w:p w:rsidR="00795F47" w:rsidRDefault="00B666DF">
            <w:pPr>
              <w:widowControl w:val="0"/>
              <w:numPr>
                <w:ilvl w:val="0"/>
                <w:numId w:val="8"/>
              </w:numPr>
              <w:tabs>
                <w:tab w:val="left" w:pos="695"/>
              </w:tabs>
              <w:spacing w:before="120" w:after="120"/>
              <w:ind w:left="743" w:hanging="709"/>
              <w:rPr>
                <w:rFonts w:ascii="Arial" w:eastAsia="Arial" w:hAnsi="Arial"/>
                <w:sz w:val="24"/>
                <w:szCs w:val="24"/>
              </w:rPr>
            </w:pPr>
            <w:r>
              <w:rPr>
                <w:rFonts w:ascii="Arial" w:eastAsia="Arial" w:hAnsi="Arial"/>
                <w:sz w:val="24"/>
                <w:szCs w:val="24"/>
              </w:rPr>
              <w:t>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tc>
      </w:tr>
      <w:tr w:rsidR="00795F47">
        <w:tc>
          <w:tcPr>
            <w:tcW w:w="3397" w:type="dxa"/>
          </w:tcPr>
          <w:p w:rsidR="00795F47" w:rsidRDefault="00795F47">
            <w:pPr>
              <w:spacing w:before="120" w:after="120"/>
              <w:ind w:left="720" w:firstLine="0"/>
              <w:rPr>
                <w:rFonts w:ascii="Arial" w:eastAsia="Arial" w:hAnsi="Arial"/>
                <w:b/>
                <w:sz w:val="24"/>
                <w:szCs w:val="24"/>
              </w:rPr>
            </w:pPr>
          </w:p>
        </w:tc>
        <w:tc>
          <w:tcPr>
            <w:tcW w:w="5629" w:type="dxa"/>
          </w:tcPr>
          <w:p w:rsidR="00795F47" w:rsidRDefault="00B666DF">
            <w:pPr>
              <w:widowControl w:val="0"/>
              <w:numPr>
                <w:ilvl w:val="0"/>
                <w:numId w:val="8"/>
              </w:numPr>
              <w:tabs>
                <w:tab w:val="left" w:pos="695"/>
              </w:tabs>
              <w:spacing w:before="120" w:after="120"/>
              <w:ind w:left="695" w:hanging="646"/>
              <w:rPr>
                <w:rFonts w:ascii="Arial" w:eastAsia="Arial" w:hAnsi="Arial"/>
                <w:sz w:val="24"/>
                <w:szCs w:val="24"/>
              </w:rPr>
            </w:pPr>
            <w:r>
              <w:rPr>
                <w:rFonts w:ascii="Arial" w:eastAsia="Arial" w:hAnsi="Arial"/>
                <w:sz w:val="24"/>
                <w:szCs w:val="24"/>
              </w:rPr>
              <w:t>their employment with a Former Supplier who provides access to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795F47">
        <w:tc>
          <w:tcPr>
            <w:tcW w:w="3397" w:type="dxa"/>
          </w:tcPr>
          <w:p w:rsidR="00795F47" w:rsidRDefault="00795F47">
            <w:pPr>
              <w:spacing w:before="120" w:after="120"/>
              <w:ind w:left="720" w:firstLine="0"/>
              <w:rPr>
                <w:rFonts w:ascii="Arial" w:eastAsia="Arial" w:hAnsi="Arial"/>
                <w:b/>
                <w:sz w:val="24"/>
                <w:szCs w:val="24"/>
              </w:rPr>
            </w:pPr>
          </w:p>
        </w:tc>
        <w:tc>
          <w:tcPr>
            <w:tcW w:w="5629" w:type="dxa"/>
          </w:tcPr>
          <w:p w:rsidR="00795F47" w:rsidRDefault="00B666DF">
            <w:pPr>
              <w:tabs>
                <w:tab w:val="left" w:pos="235"/>
              </w:tabs>
              <w:spacing w:before="120" w:after="120"/>
              <w:rPr>
                <w:rFonts w:ascii="Arial" w:eastAsia="Arial" w:hAnsi="Arial"/>
                <w:sz w:val="24"/>
                <w:szCs w:val="24"/>
              </w:rPr>
            </w:pPr>
            <w:r>
              <w:rPr>
                <w:rFonts w:ascii="Arial" w:eastAsia="Arial" w:hAnsi="Arial"/>
                <w:sz w:val="24"/>
                <w:szCs w:val="24"/>
              </w:rPr>
              <w:t>and, in each case, being continuously engaged for more than fifty per cent (50%) of their employed time in the delivery of services (the same as or similar to the Services).</w:t>
            </w:r>
          </w:p>
        </w:tc>
      </w:tr>
      <w:tr w:rsidR="00795F47">
        <w:tc>
          <w:tcPr>
            <w:tcW w:w="3397" w:type="dxa"/>
          </w:tcPr>
          <w:p w:rsidR="00795F47" w:rsidRDefault="00795F47">
            <w:pPr>
              <w:spacing w:before="120" w:after="120"/>
              <w:ind w:left="720" w:firstLine="0"/>
              <w:rPr>
                <w:rFonts w:ascii="Arial" w:eastAsia="Arial" w:hAnsi="Arial"/>
                <w:b/>
                <w:sz w:val="24"/>
                <w:szCs w:val="24"/>
              </w:rPr>
            </w:pPr>
          </w:p>
        </w:tc>
        <w:tc>
          <w:tcPr>
            <w:tcW w:w="5629" w:type="dxa"/>
          </w:tcPr>
          <w:p w:rsidR="00795F47" w:rsidRDefault="00B666DF">
            <w:pPr>
              <w:tabs>
                <w:tab w:val="left" w:pos="235"/>
              </w:tabs>
              <w:spacing w:before="120" w:after="120"/>
              <w:rPr>
                <w:rFonts w:ascii="Arial" w:eastAsia="Arial" w:hAnsi="Arial"/>
                <w:sz w:val="24"/>
                <w:szCs w:val="24"/>
              </w:rPr>
            </w:pPr>
            <w:r>
              <w:rPr>
                <w:rFonts w:ascii="Arial" w:eastAsia="Arial" w:hAnsi="Arial"/>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795F47">
        <w:tc>
          <w:tcPr>
            <w:tcW w:w="3397" w:type="dxa"/>
          </w:tcPr>
          <w:p w:rsidR="00795F47" w:rsidRDefault="00B666DF">
            <w:pPr>
              <w:spacing w:before="120" w:after="120"/>
              <w:ind w:left="993" w:firstLine="0"/>
              <w:rPr>
                <w:rFonts w:ascii="Arial" w:eastAsia="Arial" w:hAnsi="Arial"/>
                <w:b/>
                <w:sz w:val="24"/>
                <w:szCs w:val="24"/>
              </w:rPr>
            </w:pPr>
            <w:r>
              <w:rPr>
                <w:rFonts w:ascii="Arial" w:eastAsia="Arial" w:hAnsi="Arial"/>
                <w:b/>
                <w:sz w:val="24"/>
                <w:szCs w:val="24"/>
              </w:rPr>
              <w:t>"NHS Body"</w:t>
            </w:r>
          </w:p>
        </w:tc>
        <w:tc>
          <w:tcPr>
            <w:tcW w:w="5629" w:type="dxa"/>
          </w:tcPr>
          <w:p w:rsidR="00795F47" w:rsidRDefault="00B666DF">
            <w:pPr>
              <w:tabs>
                <w:tab w:val="left" w:pos="235"/>
              </w:tabs>
              <w:spacing w:before="120" w:after="120"/>
              <w:rPr>
                <w:rFonts w:ascii="Arial" w:eastAsia="Arial" w:hAnsi="Arial"/>
                <w:sz w:val="24"/>
                <w:szCs w:val="24"/>
              </w:rPr>
            </w:pPr>
            <w:r>
              <w:rPr>
                <w:rFonts w:ascii="Arial" w:eastAsia="Arial" w:hAnsi="Arial"/>
                <w:sz w:val="24"/>
                <w:szCs w:val="24"/>
              </w:rPr>
              <w:t xml:space="preserve">has the meaning given to it in section 275 of the National Health Service Act 2006 as amended by section 138(2)(c) of Schedule 4 to the Health and Social Care Act 2012; </w:t>
            </w:r>
          </w:p>
        </w:tc>
      </w:tr>
      <w:tr w:rsidR="00795F47">
        <w:tc>
          <w:tcPr>
            <w:tcW w:w="3397" w:type="dxa"/>
          </w:tcPr>
          <w:p w:rsidR="00795F47" w:rsidRDefault="00B666DF">
            <w:pPr>
              <w:spacing w:before="120" w:after="120"/>
              <w:ind w:left="993" w:firstLine="0"/>
              <w:rPr>
                <w:rFonts w:ascii="Arial" w:eastAsia="Arial" w:hAnsi="Arial"/>
                <w:b/>
                <w:sz w:val="24"/>
                <w:szCs w:val="24"/>
              </w:rPr>
            </w:pPr>
            <w:r>
              <w:rPr>
                <w:rFonts w:ascii="Arial" w:eastAsia="Arial" w:hAnsi="Arial"/>
                <w:b/>
                <w:sz w:val="24"/>
                <w:szCs w:val="24"/>
              </w:rPr>
              <w:t>"NHS Pensions"</w:t>
            </w:r>
          </w:p>
        </w:tc>
        <w:tc>
          <w:tcPr>
            <w:tcW w:w="5629" w:type="dxa"/>
          </w:tcPr>
          <w:p w:rsidR="00795F47" w:rsidRDefault="00B666DF">
            <w:pPr>
              <w:tabs>
                <w:tab w:val="left" w:pos="235"/>
              </w:tabs>
              <w:spacing w:before="120" w:after="120"/>
              <w:rPr>
                <w:rFonts w:ascii="Arial" w:eastAsia="Arial" w:hAnsi="Arial"/>
                <w:sz w:val="24"/>
                <w:szCs w:val="24"/>
              </w:rPr>
            </w:pPr>
            <w:r>
              <w:rPr>
                <w:rFonts w:ascii="Arial" w:eastAsia="Arial" w:hAnsi="Arial"/>
                <w:sz w:val="24"/>
                <w:szCs w:val="24"/>
              </w:rPr>
              <w:t>NHS Pensions as the administrators of the NHSPS or such other body as may from time to time be responsible for relevant administrative functions of the NHSPS;</w:t>
            </w:r>
          </w:p>
        </w:tc>
      </w:tr>
      <w:tr w:rsidR="00795F47">
        <w:tc>
          <w:tcPr>
            <w:tcW w:w="3397" w:type="dxa"/>
          </w:tcPr>
          <w:p w:rsidR="00795F47" w:rsidRDefault="00B666DF">
            <w:pPr>
              <w:spacing w:before="120" w:after="120"/>
              <w:ind w:left="993" w:firstLine="0"/>
              <w:rPr>
                <w:rFonts w:ascii="Arial" w:eastAsia="Arial" w:hAnsi="Arial"/>
                <w:b/>
                <w:sz w:val="24"/>
                <w:szCs w:val="24"/>
              </w:rPr>
            </w:pPr>
            <w:r>
              <w:rPr>
                <w:rFonts w:ascii="Arial" w:eastAsia="Arial" w:hAnsi="Arial"/>
                <w:b/>
                <w:sz w:val="24"/>
                <w:szCs w:val="24"/>
              </w:rPr>
              <w:t>"NHSPS"</w:t>
            </w:r>
          </w:p>
        </w:tc>
        <w:tc>
          <w:tcPr>
            <w:tcW w:w="5629" w:type="dxa"/>
          </w:tcPr>
          <w:p w:rsidR="00795F47" w:rsidRDefault="00B666DF">
            <w:pPr>
              <w:tabs>
                <w:tab w:val="left" w:pos="235"/>
              </w:tabs>
              <w:spacing w:before="120" w:after="120"/>
              <w:rPr>
                <w:rFonts w:ascii="Arial" w:eastAsia="Arial" w:hAnsi="Arial"/>
                <w:sz w:val="24"/>
                <w:szCs w:val="24"/>
              </w:rPr>
            </w:pPr>
            <w:r>
              <w:rPr>
                <w:rFonts w:ascii="Arial" w:eastAsia="Arial" w:hAnsi="Arial"/>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795F47">
        <w:tc>
          <w:tcPr>
            <w:tcW w:w="3397" w:type="dxa"/>
          </w:tcPr>
          <w:p w:rsidR="00795F47" w:rsidRDefault="00795F47">
            <w:pPr>
              <w:spacing w:before="120" w:after="120"/>
              <w:ind w:left="993" w:firstLine="0"/>
              <w:rPr>
                <w:rFonts w:ascii="Arial" w:eastAsia="Arial" w:hAnsi="Arial"/>
                <w:b/>
                <w:sz w:val="24"/>
                <w:szCs w:val="24"/>
              </w:rPr>
            </w:pPr>
          </w:p>
        </w:tc>
        <w:tc>
          <w:tcPr>
            <w:tcW w:w="5629" w:type="dxa"/>
          </w:tcPr>
          <w:p w:rsidR="00795F47" w:rsidRDefault="00795F47">
            <w:pPr>
              <w:tabs>
                <w:tab w:val="left" w:pos="235"/>
              </w:tabs>
              <w:spacing w:before="120" w:after="120"/>
              <w:rPr>
                <w:rFonts w:ascii="Arial" w:eastAsia="Arial" w:hAnsi="Arial"/>
                <w:sz w:val="24"/>
                <w:szCs w:val="24"/>
              </w:rPr>
            </w:pPr>
          </w:p>
        </w:tc>
      </w:tr>
      <w:tr w:rsidR="00795F47">
        <w:tc>
          <w:tcPr>
            <w:tcW w:w="3397" w:type="dxa"/>
          </w:tcPr>
          <w:p w:rsidR="00795F47" w:rsidRDefault="00B666DF">
            <w:pPr>
              <w:spacing w:before="120" w:after="120"/>
              <w:ind w:left="993" w:firstLine="0"/>
              <w:rPr>
                <w:rFonts w:ascii="Arial" w:eastAsia="Arial" w:hAnsi="Arial"/>
                <w:b/>
                <w:sz w:val="24"/>
                <w:szCs w:val="24"/>
              </w:rPr>
            </w:pPr>
            <w:r>
              <w:rPr>
                <w:rFonts w:ascii="Arial" w:eastAsia="Arial" w:hAnsi="Arial"/>
                <w:b/>
                <w:sz w:val="24"/>
                <w:szCs w:val="24"/>
              </w:rPr>
              <w:t>"NHS Pension Scheme Regulations"</w:t>
            </w:r>
          </w:p>
        </w:tc>
        <w:tc>
          <w:tcPr>
            <w:tcW w:w="5629" w:type="dxa"/>
          </w:tcPr>
          <w:p w:rsidR="00795F47" w:rsidRDefault="00B666DF">
            <w:pPr>
              <w:tabs>
                <w:tab w:val="left" w:pos="235"/>
              </w:tabs>
              <w:spacing w:before="120" w:after="120"/>
              <w:rPr>
                <w:rFonts w:ascii="Arial" w:eastAsia="Arial" w:hAnsi="Arial"/>
                <w:sz w:val="24"/>
                <w:szCs w:val="24"/>
              </w:rPr>
            </w:pPr>
            <w:r>
              <w:rPr>
                <w:rFonts w:ascii="Arial" w:eastAsia="Arial" w:hAnsi="Arial"/>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795F47">
        <w:tc>
          <w:tcPr>
            <w:tcW w:w="3397" w:type="dxa"/>
          </w:tcPr>
          <w:p w:rsidR="00795F47" w:rsidRDefault="00B666DF">
            <w:pPr>
              <w:spacing w:before="120" w:after="120"/>
              <w:ind w:left="993" w:firstLine="0"/>
              <w:rPr>
                <w:rFonts w:ascii="Arial" w:eastAsia="Arial" w:hAnsi="Arial"/>
                <w:b/>
                <w:sz w:val="24"/>
                <w:szCs w:val="24"/>
              </w:rPr>
            </w:pPr>
            <w:r>
              <w:rPr>
                <w:rFonts w:ascii="Arial" w:eastAsia="Arial" w:hAnsi="Arial"/>
                <w:b/>
                <w:sz w:val="24"/>
                <w:szCs w:val="24"/>
              </w:rPr>
              <w:t>"NHS Premature Retirement Rights"</w:t>
            </w:r>
          </w:p>
        </w:tc>
        <w:tc>
          <w:tcPr>
            <w:tcW w:w="5629" w:type="dxa"/>
          </w:tcPr>
          <w:p w:rsidR="00795F47" w:rsidRDefault="00B666DF">
            <w:pPr>
              <w:tabs>
                <w:tab w:val="left" w:pos="235"/>
              </w:tabs>
              <w:spacing w:before="120" w:after="120"/>
              <w:rPr>
                <w:rFonts w:ascii="Arial" w:eastAsia="Arial" w:hAnsi="Arial"/>
                <w:sz w:val="24"/>
                <w:szCs w:val="24"/>
              </w:rPr>
            </w:pPr>
            <w:r>
              <w:rPr>
                <w:rFonts w:ascii="Arial" w:eastAsia="Arial" w:hAnsi="Arial"/>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795F47">
        <w:tc>
          <w:tcPr>
            <w:tcW w:w="3397" w:type="dxa"/>
          </w:tcPr>
          <w:p w:rsidR="00795F47" w:rsidRDefault="00B666DF">
            <w:pPr>
              <w:spacing w:before="120" w:after="120"/>
              <w:ind w:left="993" w:firstLine="0"/>
              <w:rPr>
                <w:rFonts w:ascii="Arial" w:eastAsia="Arial" w:hAnsi="Arial"/>
                <w:b/>
                <w:sz w:val="24"/>
                <w:szCs w:val="24"/>
              </w:rPr>
            </w:pPr>
            <w:r>
              <w:rPr>
                <w:rFonts w:ascii="Arial" w:eastAsia="Arial" w:hAnsi="Arial"/>
                <w:b/>
                <w:sz w:val="24"/>
                <w:szCs w:val="24"/>
              </w:rPr>
              <w:t>"Pension Benefits"</w:t>
            </w:r>
          </w:p>
        </w:tc>
        <w:tc>
          <w:tcPr>
            <w:tcW w:w="5629" w:type="dxa"/>
          </w:tcPr>
          <w:p w:rsidR="00795F47" w:rsidRDefault="00B666DF">
            <w:pPr>
              <w:tabs>
                <w:tab w:val="left" w:pos="235"/>
              </w:tabs>
              <w:spacing w:before="120" w:after="120"/>
              <w:rPr>
                <w:rFonts w:ascii="Arial" w:eastAsia="Arial" w:hAnsi="Arial"/>
                <w:sz w:val="24"/>
                <w:szCs w:val="24"/>
              </w:rPr>
            </w:pPr>
            <w:r>
              <w:rPr>
                <w:rFonts w:ascii="Arial" w:eastAsia="Arial" w:hAnsi="Arial"/>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795F47">
        <w:tc>
          <w:tcPr>
            <w:tcW w:w="3397" w:type="dxa"/>
          </w:tcPr>
          <w:p w:rsidR="00795F47" w:rsidRDefault="00795F47">
            <w:pPr>
              <w:spacing w:before="120" w:after="120"/>
              <w:ind w:left="993" w:firstLine="0"/>
              <w:rPr>
                <w:rFonts w:ascii="Arial" w:eastAsia="Arial" w:hAnsi="Arial"/>
                <w:b/>
                <w:sz w:val="24"/>
                <w:szCs w:val="24"/>
              </w:rPr>
            </w:pPr>
          </w:p>
        </w:tc>
        <w:tc>
          <w:tcPr>
            <w:tcW w:w="5629" w:type="dxa"/>
          </w:tcPr>
          <w:p w:rsidR="00795F47" w:rsidRDefault="00795F47">
            <w:pPr>
              <w:tabs>
                <w:tab w:val="left" w:pos="235"/>
              </w:tabs>
              <w:spacing w:before="120" w:after="120"/>
              <w:rPr>
                <w:rFonts w:ascii="Arial" w:eastAsia="Arial" w:hAnsi="Arial"/>
                <w:sz w:val="24"/>
                <w:szCs w:val="24"/>
              </w:rPr>
            </w:pPr>
          </w:p>
        </w:tc>
      </w:tr>
    </w:tbl>
    <w:p w:rsidR="00795F47" w:rsidRDefault="00B666DF">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bookmarkStart w:id="45" w:name="_heading=h.19c6y18" w:colFirst="0" w:colLast="0"/>
      <w:bookmarkEnd w:id="45"/>
      <w:r>
        <w:rPr>
          <w:rFonts w:ascii="Arial Bold" w:eastAsia="Arial Bold" w:hAnsi="Arial Bold" w:cs="Arial Bold"/>
          <w:b/>
          <w:color w:val="000000"/>
          <w:sz w:val="24"/>
          <w:szCs w:val="24"/>
        </w:rPr>
        <w:t>Membership of the NHS Pension Scheme</w:t>
      </w:r>
    </w:p>
    <w:p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795F47" w:rsidRDefault="00B666DF">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rsidR="00795F47" w:rsidRDefault="00B666DF">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28h4qwu" w:colFirst="0" w:colLast="0"/>
      <w:bookmarkEnd w:id="47"/>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46r0co2" w:colFirst="0" w:colLast="0"/>
      <w:bookmarkEnd w:id="51"/>
      <w:r>
        <w:rPr>
          <w:rFonts w:ascii="Arial" w:eastAsia="Arial" w:hAnsi="Arial"/>
          <w:color w:val="000000"/>
          <w:sz w:val="24"/>
          <w:szCs w:val="24"/>
        </w:rPr>
        <w:t>The Supplier will (and will procure that its Subcontractors (if any) will) Subcontractor provide any guarantee, bond or indemnity required by NHS Pensions in relation to a Direction Letter/Determination.</w:t>
      </w:r>
    </w:p>
    <w:p w:rsidR="00795F47" w:rsidRDefault="00B666DF">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2lwamvv" w:colFirst="0" w:colLast="0"/>
      <w:bookmarkEnd w:id="52"/>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795F47" w:rsidRDefault="00B666DF">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795F47" w:rsidRDefault="00795F47">
      <w:pPr>
        <w:ind w:left="357"/>
        <w:rPr>
          <w:rFonts w:ascii="Arial" w:eastAsia="Arial" w:hAnsi="Arial"/>
          <w:sz w:val="24"/>
          <w:szCs w:val="24"/>
        </w:rPr>
      </w:pPr>
    </w:p>
    <w:p w:rsidR="00795F47" w:rsidRDefault="00B666DF">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bookmarkStart w:id="53" w:name="_heading=h.111kx3o" w:colFirst="0" w:colLast="0"/>
      <w:bookmarkEnd w:id="53"/>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206ipza" w:colFirst="0" w:colLast="0"/>
      <w:bookmarkEnd w:id="55"/>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795F47" w:rsidRDefault="00B666DF">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rsidR="00795F47" w:rsidRDefault="00B666DF">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 xml:space="preserve">If the Supplier (or its Subcontractor, if relevant) is unable to provide the NHSPS Fair Deal Employees with either membership of: </w:t>
      </w:r>
    </w:p>
    <w:p w:rsidR="00795F47" w:rsidRDefault="00B666DF">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 xml:space="preserve">the NHSPS (having used its best endeavours to secure a Direction Letter/Determination); or </w:t>
      </w:r>
    </w:p>
    <w:p w:rsidR="00795F47" w:rsidRDefault="00B666DF">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a Broadly Comparable pension scheme, </w:t>
      </w:r>
    </w:p>
    <w:p w:rsidR="00795F47" w:rsidRDefault="00B666DF">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This flexibility for the Buyer to allow compensation in place of Pension Benefits is in addition to and not instead of the Buyer’s right to terminate the Contract.</w:t>
      </w:r>
    </w:p>
    <w:p w:rsidR="00795F47" w:rsidRDefault="00B666DF">
      <w:pPr>
        <w:keepNext/>
        <w:numPr>
          <w:ilvl w:val="0"/>
          <w:numId w:val="4"/>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rsidR="00795F47" w:rsidRDefault="00B666DF">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795F47" w:rsidRDefault="00B666DF">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t xml:space="preserve">Annex D3: </w:t>
      </w:r>
    </w:p>
    <w:p w:rsidR="00795F47" w:rsidRDefault="00B666DF">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rsidR="00795F47" w:rsidRDefault="00B666DF">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rsidR="00795F47" w:rsidRDefault="00B666DF">
      <w:pPr>
        <w:rPr>
          <w:b/>
          <w:sz w:val="24"/>
          <w:szCs w:val="24"/>
        </w:rPr>
      </w:pPr>
      <w:r>
        <w:rPr>
          <w:rFonts w:ascii="Arial" w:eastAsia="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b/>
          <w:sz w:val="24"/>
          <w:szCs w:val="24"/>
          <w:highlight w:val="yellow"/>
        </w:rPr>
        <w:t xml:space="preserve">  </w:t>
      </w:r>
    </w:p>
    <w:p w:rsidR="00795F47" w:rsidRDefault="00B666DF">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rsidR="00795F47" w:rsidRDefault="00B666DF">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rsidR="00795F47" w:rsidRDefault="00B666DF">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795F47" w:rsidRDefault="00B666DF">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795F47" w:rsidRDefault="00B666DF">
      <w:pPr>
        <w:keepNext/>
        <w:numPr>
          <w:ilvl w:val="0"/>
          <w:numId w:val="5"/>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rsidR="00795F47" w:rsidRDefault="00B666D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8"/>
        <w:tblW w:w="9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5"/>
        <w:gridCol w:w="6391"/>
      </w:tblGrid>
      <w:tr w:rsidR="00795F47">
        <w:trPr>
          <w:trHeight w:val="653"/>
        </w:trPr>
        <w:tc>
          <w:tcPr>
            <w:tcW w:w="2635" w:type="dxa"/>
            <w:shd w:val="clear" w:color="auto" w:fill="auto"/>
          </w:tcPr>
          <w:p w:rsidR="00795F47" w:rsidRDefault="00B666DF">
            <w:pPr>
              <w:ind w:left="720" w:firstLine="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rsidR="00795F47" w:rsidRDefault="00B666DF">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795F47">
        <w:trPr>
          <w:trHeight w:val="653"/>
        </w:trPr>
        <w:tc>
          <w:tcPr>
            <w:tcW w:w="2635" w:type="dxa"/>
            <w:shd w:val="clear" w:color="auto" w:fill="auto"/>
          </w:tcPr>
          <w:p w:rsidR="00795F47" w:rsidRDefault="00B666D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rsidR="00795F47" w:rsidRDefault="00B666DF">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795F47">
        <w:trPr>
          <w:trHeight w:val="653"/>
        </w:trPr>
        <w:tc>
          <w:tcPr>
            <w:tcW w:w="2635" w:type="dxa"/>
            <w:shd w:val="clear" w:color="auto" w:fill="auto"/>
          </w:tcPr>
          <w:p w:rsidR="00795F47" w:rsidRDefault="00B666D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rsidR="00795F47" w:rsidRDefault="00B666DF">
            <w:pPr>
              <w:rPr>
                <w:rFonts w:ascii="Arial" w:eastAsia="Arial" w:hAnsi="Arial"/>
                <w:sz w:val="24"/>
                <w:szCs w:val="24"/>
              </w:rPr>
            </w:pPr>
            <w:r>
              <w:rPr>
                <w:rFonts w:ascii="Arial" w:eastAsia="Arial" w:hAnsi="Arial"/>
                <w:sz w:val="24"/>
                <w:szCs w:val="24"/>
              </w:rPr>
              <w:t>the actuary to a Fund appointed by the Administering Buyer of that Fund;</w:t>
            </w:r>
          </w:p>
        </w:tc>
      </w:tr>
      <w:tr w:rsidR="00795F47">
        <w:trPr>
          <w:trHeight w:val="337"/>
        </w:trPr>
        <w:tc>
          <w:tcPr>
            <w:tcW w:w="2635" w:type="dxa"/>
            <w:shd w:val="clear" w:color="auto" w:fill="auto"/>
          </w:tcPr>
          <w:p w:rsidR="00795F47" w:rsidRDefault="00B666D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rsidR="00795F47" w:rsidRDefault="00B666DF">
            <w:pPr>
              <w:rPr>
                <w:rFonts w:ascii="Arial" w:eastAsia="Arial" w:hAnsi="Arial"/>
                <w:b/>
                <w:sz w:val="24"/>
                <w:szCs w:val="24"/>
              </w:rPr>
            </w:pPr>
            <w:r>
              <w:rPr>
                <w:rFonts w:ascii="Arial" w:eastAsia="Arial" w:hAnsi="Arial"/>
                <w:b/>
                <w:sz w:val="24"/>
                <w:szCs w:val="24"/>
                <w:highlight w:val="yellow"/>
              </w:rPr>
              <w:t>[insert name], a pension fund within the LGPS;</w:t>
            </w:r>
          </w:p>
        </w:tc>
      </w:tr>
      <w:tr w:rsidR="00795F47">
        <w:trPr>
          <w:trHeight w:val="337"/>
        </w:trPr>
        <w:tc>
          <w:tcPr>
            <w:tcW w:w="2635" w:type="dxa"/>
            <w:shd w:val="clear" w:color="auto" w:fill="auto"/>
          </w:tcPr>
          <w:p w:rsidR="00795F47" w:rsidRDefault="00B666DF">
            <w:pPr>
              <w:ind w:left="720" w:firstLine="0"/>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rsidR="00795F47" w:rsidRDefault="00B666DF">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795F47">
        <w:trPr>
          <w:trHeight w:val="1269"/>
        </w:trPr>
        <w:tc>
          <w:tcPr>
            <w:tcW w:w="2635" w:type="dxa"/>
            <w:shd w:val="clear" w:color="auto" w:fill="auto"/>
          </w:tcPr>
          <w:p w:rsidR="00795F47" w:rsidRDefault="00B666D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rsidR="00795F47" w:rsidRDefault="00B666DF">
            <w:pPr>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795F47">
        <w:trPr>
          <w:trHeight w:val="990"/>
        </w:trPr>
        <w:tc>
          <w:tcPr>
            <w:tcW w:w="2635" w:type="dxa"/>
            <w:shd w:val="clear" w:color="auto" w:fill="auto"/>
          </w:tcPr>
          <w:p w:rsidR="00795F47" w:rsidRDefault="00B666D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rsidR="00795F47" w:rsidRDefault="00B666DF">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795F47">
        <w:trPr>
          <w:trHeight w:val="900"/>
        </w:trPr>
        <w:tc>
          <w:tcPr>
            <w:tcW w:w="2635" w:type="dxa"/>
            <w:shd w:val="clear" w:color="auto" w:fill="auto"/>
          </w:tcPr>
          <w:p w:rsidR="00795F47" w:rsidRDefault="00B666D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rsidR="00795F47" w:rsidRDefault="00B666DF">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795F47">
        <w:trPr>
          <w:trHeight w:val="900"/>
        </w:trPr>
        <w:tc>
          <w:tcPr>
            <w:tcW w:w="2635" w:type="dxa"/>
            <w:shd w:val="clear" w:color="auto" w:fill="auto"/>
          </w:tcPr>
          <w:p w:rsidR="00795F47" w:rsidRDefault="00B666D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rsidR="00795F47" w:rsidRDefault="00B666DF">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795F47">
        <w:trPr>
          <w:trHeight w:val="900"/>
        </w:trPr>
        <w:tc>
          <w:tcPr>
            <w:tcW w:w="2635" w:type="dxa"/>
            <w:shd w:val="clear" w:color="auto" w:fill="auto"/>
          </w:tcPr>
          <w:p w:rsidR="00795F47" w:rsidRDefault="00B666DF">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rsidR="00795F47" w:rsidRDefault="00B666DF">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rsidR="00795F47">
        <w:trPr>
          <w:trHeight w:val="1665"/>
        </w:trPr>
        <w:tc>
          <w:tcPr>
            <w:tcW w:w="2635" w:type="dxa"/>
            <w:shd w:val="clear" w:color="auto" w:fill="auto"/>
          </w:tcPr>
          <w:p w:rsidR="00795F47" w:rsidRDefault="00B666DF">
            <w:pPr>
              <w:spacing w:after="0"/>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rsidR="00795F47" w:rsidRDefault="00B666DF">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795F47" w:rsidRDefault="00795F47">
      <w:pPr>
        <w:pStyle w:val="Heading2"/>
        <w:rPr>
          <w:rFonts w:ascii="Arial" w:eastAsia="Arial" w:hAnsi="Arial"/>
          <w:sz w:val="24"/>
          <w:szCs w:val="24"/>
        </w:rPr>
      </w:pPr>
    </w:p>
    <w:p w:rsidR="00795F47" w:rsidRDefault="00B666DF">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rsidR="00795F47" w:rsidRDefault="00B666DF">
      <w:pPr>
        <w:numPr>
          <w:ilvl w:val="1"/>
          <w:numId w:val="12"/>
        </w:numPr>
        <w:tabs>
          <w:tab w:val="left" w:pos="720"/>
        </w:tabs>
        <w:ind w:left="708" w:hanging="708"/>
        <w:rPr>
          <w:rFonts w:ascii="Arial" w:eastAsia="Arial" w:hAnsi="Arial"/>
          <w:sz w:val="24"/>
          <w:szCs w:val="24"/>
        </w:rPr>
      </w:pPr>
      <w:r>
        <w:rPr>
          <w:rFonts w:ascii="Arial" w:eastAsia="Arial" w:hAnsi="Arial"/>
          <w:sz w:val="24"/>
          <w:szCs w:val="24"/>
        </w:rP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795F47" w:rsidRDefault="00B666DF">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rsidR="00795F47" w:rsidRDefault="00B666DF">
      <w:pPr>
        <w:numPr>
          <w:ilvl w:val="1"/>
          <w:numId w:val="12"/>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rsidR="00795F47" w:rsidRDefault="00B666DF">
      <w:pPr>
        <w:numPr>
          <w:ilvl w:val="2"/>
          <w:numId w:val="12"/>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rsidR="00795F47" w:rsidRDefault="00B666DF">
      <w:pPr>
        <w:numPr>
          <w:ilvl w:val="2"/>
          <w:numId w:val="12"/>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795F47" w:rsidRDefault="00B666DF">
      <w:pPr>
        <w:tabs>
          <w:tab w:val="left" w:pos="720"/>
        </w:tabs>
        <w:ind w:left="708"/>
        <w:rPr>
          <w:rFonts w:ascii="Arial" w:eastAsia="Arial" w:hAnsi="Arial"/>
          <w:b/>
          <w:sz w:val="24"/>
          <w:szCs w:val="24"/>
        </w:rPr>
      </w:pPr>
      <w:r>
        <w:rPr>
          <w:rFonts w:ascii="Arial" w:eastAsia="Arial" w:hAnsi="Arial"/>
          <w:b/>
          <w:sz w:val="24"/>
          <w:szCs w:val="24"/>
        </w:rPr>
        <w:t>OPTION 2</w:t>
      </w:r>
    </w:p>
    <w:p w:rsidR="00795F47" w:rsidRDefault="00B666DF">
      <w:pPr>
        <w:tabs>
          <w:tab w:val="left" w:pos="720"/>
        </w:tabs>
        <w:ind w:left="708"/>
        <w:rPr>
          <w:rFonts w:ascii="Arial" w:eastAsia="Arial" w:hAnsi="Arial"/>
          <w:sz w:val="24"/>
          <w:szCs w:val="24"/>
        </w:rPr>
      </w:pPr>
      <w:r>
        <w:rPr>
          <w:rFonts w:ascii="Arial" w:eastAsia="Arial" w:hAnsi="Arial"/>
          <w:sz w:val="24"/>
          <w:szCs w:val="24"/>
        </w:rPr>
        <w:t>[Any LGPS Fair Deal Employees whether:</w:t>
      </w:r>
    </w:p>
    <w:p w:rsidR="00795F47" w:rsidRDefault="00B666DF">
      <w:pPr>
        <w:numPr>
          <w:ilvl w:val="2"/>
          <w:numId w:val="12"/>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rsidR="00795F47" w:rsidRDefault="00B666DF">
      <w:pPr>
        <w:numPr>
          <w:ilvl w:val="2"/>
          <w:numId w:val="12"/>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rsidR="00795F47" w:rsidRDefault="00B666DF">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795F47" w:rsidRDefault="00B666DF">
      <w:pPr>
        <w:numPr>
          <w:ilvl w:val="1"/>
          <w:numId w:val="12"/>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rsidR="00795F47" w:rsidRDefault="00B666DF">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1" w:name="_heading=h.sqyw64" w:colFirst="0" w:colLast="0"/>
      <w:bookmarkEnd w:id="61"/>
      <w:r>
        <w:rPr>
          <w:rFonts w:ascii="Arial Bold" w:eastAsia="Arial Bold" w:hAnsi="Arial Bold" w:cs="Arial Bold"/>
          <w:b/>
          <w:color w:val="000000"/>
          <w:sz w:val="24"/>
          <w:szCs w:val="24"/>
        </w:rPr>
        <w:t>Broadly Comparable Scheme</w:t>
      </w:r>
    </w:p>
    <w:p w:rsidR="00795F47" w:rsidRDefault="00B666DF">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795F47" w:rsidRDefault="00B666DF">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795F47" w:rsidRDefault="00B666DF">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2" w:name="_heading=h.3cqmetx" w:colFirst="0" w:colLast="0"/>
      <w:bookmarkEnd w:id="62"/>
      <w:r>
        <w:rPr>
          <w:rFonts w:ascii="Arial Bold" w:eastAsia="Arial Bold" w:hAnsi="Arial Bold" w:cs="Arial Bold"/>
          <w:b/>
          <w:color w:val="000000"/>
          <w:sz w:val="24"/>
          <w:szCs w:val="24"/>
        </w:rPr>
        <w:t>Discretionary Benefits</w:t>
      </w:r>
    </w:p>
    <w:p w:rsidR="00795F47" w:rsidRDefault="00B666DF">
      <w:pPr>
        <w:pStyle w:val="Heading3"/>
        <w:ind w:left="720" w:hanging="10"/>
        <w:rPr>
          <w:rFonts w:ascii="Arial" w:eastAsia="Arial" w:hAnsi="Arial"/>
          <w:sz w:val="24"/>
          <w:szCs w:val="24"/>
        </w:rPr>
      </w:pPr>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795F47" w:rsidRDefault="00B666DF">
      <w:pPr>
        <w:rPr>
          <w:rFonts w:ascii="Arial" w:eastAsia="Arial" w:hAnsi="Arial"/>
          <w:sz w:val="24"/>
          <w:szCs w:val="24"/>
        </w:rPr>
      </w:pPr>
      <w:r>
        <w:rPr>
          <w:rFonts w:ascii="Arial" w:eastAsia="Arial" w:hAnsi="Arial"/>
          <w:sz w:val="24"/>
          <w:szCs w:val="24"/>
        </w:rPr>
        <w:t xml:space="preserve"> </w:t>
      </w:r>
    </w:p>
    <w:p w:rsidR="00795F47" w:rsidRDefault="00B666DF">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rsidR="00795F47" w:rsidRDefault="00B666DF">
      <w:pPr>
        <w:numPr>
          <w:ilvl w:val="1"/>
          <w:numId w:val="5"/>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rsidR="00795F47" w:rsidRDefault="00B666DF">
      <w:pPr>
        <w:numPr>
          <w:ilvl w:val="1"/>
          <w:numId w:val="5"/>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rsidR="00795F47" w:rsidRDefault="00B666DF">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rsidR="00795F47" w:rsidRDefault="00B666DF">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rsidR="00795F47" w:rsidRDefault="00B666DF">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rsidR="00795F47" w:rsidRDefault="00B666DF">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color w:val="000000"/>
          <w:sz w:val="16"/>
          <w:szCs w:val="16"/>
          <w:vertAlign w:val="superscript"/>
        </w:rPr>
        <w:footnoteReference w:id="9"/>
      </w:r>
      <w:r>
        <w:rPr>
          <w:rFonts w:ascii="Arial" w:eastAsia="Arial" w:hAnsi="Arial"/>
          <w:color w:val="000000"/>
          <w:sz w:val="24"/>
          <w:szCs w:val="24"/>
        </w:rPr>
        <w:t>;</w:t>
      </w:r>
    </w:p>
    <w:p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 or a Subcontractor from the Fund Actuary; and/or</w:t>
      </w:r>
    </w:p>
    <w:p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rsidR="00795F47" w:rsidRDefault="00B666DF">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795F47" w:rsidRDefault="00B666DF">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rsidR="00795F47" w:rsidRDefault="00B666DF">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795F47" w:rsidRDefault="00B666DF">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 Buyer shall either:</w:t>
      </w:r>
    </w:p>
    <w:p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rsidR="00795F47" w:rsidRDefault="00B666DF">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rsidR="00795F47" w:rsidRDefault="00B666DF">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795F47" w:rsidRDefault="00B666DF">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795F47" w:rsidRDefault="00B666DF">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795F47" w:rsidRDefault="00B666DF">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rsidR="00795F47" w:rsidRDefault="00795F47">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rsidR="00795F47" w:rsidRDefault="00B666DF">
      <w:pPr>
        <w:spacing w:after="120"/>
        <w:rPr>
          <w:rFonts w:ascii="Arial Bold" w:eastAsia="Arial Bold" w:hAnsi="Arial Bold" w:cs="Arial Bold"/>
          <w:b/>
          <w:sz w:val="36"/>
          <w:szCs w:val="36"/>
        </w:rPr>
      </w:pPr>
      <w:bookmarkStart w:id="63" w:name="_heading=h.1rvwp1q" w:colFirst="0" w:colLast="0"/>
      <w:bookmarkEnd w:id="63"/>
      <w:r>
        <w:br w:type="page"/>
      </w:r>
      <w:r>
        <w:rPr>
          <w:rFonts w:ascii="Arial Bold" w:eastAsia="Arial Bold" w:hAnsi="Arial Bold" w:cs="Arial Bold"/>
          <w:b/>
          <w:sz w:val="36"/>
          <w:szCs w:val="36"/>
        </w:rPr>
        <w:t>Annex D4: Other Schemes</w:t>
      </w:r>
    </w:p>
    <w:p w:rsidR="00795F47" w:rsidRDefault="00B666DF">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rsidR="00795F47" w:rsidRDefault="00B666DF">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 xml:space="preserve">Part E: Staff Transfer on Exit </w:t>
      </w:r>
    </w:p>
    <w:p w:rsidR="00795F47" w:rsidRDefault="00B666DF">
      <w:pPr>
        <w:keepNext/>
        <w:numPr>
          <w:ilvl w:val="0"/>
          <w:numId w:val="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rsidR="00795F47" w:rsidRDefault="00B666DF">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The Supplier agrees that within 20 Working Days of the earliest of:</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65" w:name="_heading=h.2r0uhxc" w:colFirst="0" w:colLast="0"/>
      <w:bookmarkEnd w:id="65"/>
      <w:r>
        <w:rPr>
          <w:rFonts w:ascii="Arial" w:eastAsia="Arial" w:hAnsi="Arial"/>
          <w:color w:val="000000"/>
          <w:sz w:val="24"/>
          <w:szCs w:val="24"/>
        </w:rPr>
        <w:t xml:space="preserve">receipt of a notification from the Buyer of a Service Transfer or intended Service Transfer; </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66" w:name="_heading=h.1664s55" w:colFirst="0" w:colLast="0"/>
      <w:bookmarkEnd w:id="66"/>
      <w:r>
        <w:rPr>
          <w:rFonts w:ascii="Arial" w:eastAsia="Arial" w:hAnsi="Arial"/>
          <w:color w:val="000000"/>
          <w:sz w:val="24"/>
          <w:szCs w:val="24"/>
        </w:rPr>
        <w:t xml:space="preserve">receipt of the giving of notice of early termination or any Partial Termination of the relevant Contract; </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rsidR="00795F47" w:rsidRDefault="00B666DF">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3q5sasy" w:colFirst="0" w:colLast="0"/>
      <w:bookmarkEnd w:id="67"/>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795F47" w:rsidRDefault="00B666D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make, promise, propose, permit or implement any material changes to the terms and conditions of employment of the Supplier Staff (including pensions and any payments connected with the termination of employment); </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rsidR="00795F47" w:rsidRDefault="00B666DF">
      <w:pPr>
        <w:pBdr>
          <w:top w:val="nil"/>
          <w:left w:val="nil"/>
          <w:bottom w:val="nil"/>
          <w:right w:val="nil"/>
          <w:between w:val="nil"/>
        </w:pBdr>
        <w:tabs>
          <w:tab w:val="left" w:pos="993"/>
        </w:tabs>
        <w:spacing w:before="120" w:after="120"/>
        <w:ind w:left="720" w:hanging="720"/>
        <w:rPr>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rsidR="00795F47" w:rsidRDefault="00B666DF">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795F47" w:rsidRDefault="00B666DF">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795F47" w:rsidRDefault="00B666DF">
      <w:pPr>
        <w:keepNext/>
        <w:numPr>
          <w:ilvl w:val="0"/>
          <w:numId w:val="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8" w:name="_heading=h.25b2l0r" w:colFirst="0" w:colLast="0"/>
      <w:bookmarkEnd w:id="68"/>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rsidR="00795F47" w:rsidRDefault="00B666DF">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rsidR="00795F47" w:rsidRDefault="00B666DF">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795F47" w:rsidRDefault="00B666DF">
      <w:pPr>
        <w:pStyle w:val="Heading5"/>
        <w:numPr>
          <w:ilvl w:val="4"/>
          <w:numId w:val="14"/>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rsidR="00795F47" w:rsidRDefault="00B666DF">
      <w:pPr>
        <w:pStyle w:val="Heading5"/>
        <w:numPr>
          <w:ilvl w:val="4"/>
          <w:numId w:val="14"/>
        </w:numPr>
        <w:ind w:left="3402" w:hanging="1134"/>
        <w:rPr>
          <w:rFonts w:ascii="Arial" w:eastAsia="Arial" w:hAnsi="Arial"/>
          <w:sz w:val="24"/>
          <w:szCs w:val="24"/>
        </w:rPr>
      </w:pPr>
      <w:r>
        <w:rPr>
          <w:rFonts w:ascii="Arial" w:eastAsia="Arial" w:hAnsi="Arial"/>
          <w:sz w:val="24"/>
          <w:szCs w:val="24"/>
        </w:rPr>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795F47" w:rsidRDefault="00795F47">
      <w:pPr>
        <w:pBdr>
          <w:top w:val="nil"/>
          <w:left w:val="nil"/>
          <w:bottom w:val="nil"/>
          <w:right w:val="nil"/>
          <w:between w:val="nil"/>
        </w:pBdr>
        <w:spacing w:before="120" w:after="120"/>
        <w:ind w:left="2214" w:hanging="1080"/>
        <w:rPr>
          <w:rFonts w:ascii="Arial" w:eastAsia="Arial" w:hAnsi="Arial"/>
          <w:color w:val="000000"/>
          <w:sz w:val="24"/>
          <w:szCs w:val="24"/>
        </w:rPr>
      </w:pPr>
    </w:p>
    <w:p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34g0dwd" w:colFirst="0" w:colLast="0"/>
      <w:bookmarkEnd w:id="70"/>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Replacement Supplier’s failure, and/or Replacement Subcontractor’s failure, to comply with its obligations under the Employment Regulations.</w:t>
      </w:r>
    </w:p>
    <w:p w:rsidR="00795F47" w:rsidRDefault="00795F47">
      <w:pPr>
        <w:pBdr>
          <w:top w:val="nil"/>
          <w:left w:val="nil"/>
          <w:bottom w:val="nil"/>
          <w:right w:val="nil"/>
          <w:between w:val="nil"/>
        </w:pBdr>
        <w:spacing w:before="120" w:after="120"/>
        <w:ind w:left="1134" w:hanging="1080"/>
        <w:rPr>
          <w:color w:val="000000"/>
        </w:rPr>
      </w:pPr>
    </w:p>
    <w:p w:rsidR="00795F47" w:rsidRDefault="00B666DF">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795F47" w:rsidRDefault="00B666DF">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795F47" w:rsidRDefault="00B666DF">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 xml:space="preserve">If after the 15 Working Day period specified in Paragraph 2.5.2 has elapsed: </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rsidR="00795F47" w:rsidRDefault="00B666DF">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rsidR="00795F47" w:rsidRDefault="00B666DF">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795F47" w:rsidRDefault="00B666DF">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The indemnity in Paragraph 2.8: </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rsidR="00795F47" w:rsidRDefault="00B666DF">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rsidR="00795F47" w:rsidRDefault="00B666DF">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795F47" w:rsidRDefault="00B666DF">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rsidR="00795F47" w:rsidRDefault="00B666DF">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rsidR="00795F47" w:rsidRDefault="00B666DF">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795F47" w:rsidRDefault="00B666DF">
      <w:pPr>
        <w:pStyle w:val="Heading4"/>
        <w:numPr>
          <w:ilvl w:val="3"/>
          <w:numId w:val="14"/>
        </w:numPr>
        <w:rPr>
          <w:rFonts w:ascii="Arial" w:eastAsia="Arial" w:hAnsi="Arial"/>
          <w:sz w:val="24"/>
          <w:szCs w:val="24"/>
        </w:rPr>
      </w:pPr>
      <w:r>
        <w:rPr>
          <w:rFonts w:ascii="Arial" w:eastAsia="Arial" w:hAnsi="Arial"/>
          <w:sz w:val="24"/>
          <w:szCs w:val="24"/>
        </w:rPr>
        <w:t>the Supplier and/or any Subcontractor; and</w:t>
      </w:r>
    </w:p>
    <w:p w:rsidR="00795F47" w:rsidRDefault="00B666DF">
      <w:pPr>
        <w:pStyle w:val="Heading4"/>
        <w:numPr>
          <w:ilvl w:val="3"/>
          <w:numId w:val="14"/>
        </w:numPr>
        <w:rPr>
          <w:rFonts w:ascii="Arial" w:eastAsia="Arial" w:hAnsi="Arial"/>
          <w:sz w:val="24"/>
          <w:szCs w:val="24"/>
        </w:rPr>
      </w:pPr>
      <w:r>
        <w:rPr>
          <w:rFonts w:ascii="Arial" w:eastAsia="Arial" w:hAnsi="Arial"/>
          <w:sz w:val="24"/>
          <w:szCs w:val="24"/>
        </w:rPr>
        <w:t>the Replacement Supplier and/or the Replacement Subcontractor.</w:t>
      </w:r>
    </w:p>
    <w:p w:rsidR="00795F47" w:rsidRDefault="00795F47">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795F47" w:rsidRDefault="00B666DF">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rsidR="00795F47" w:rsidRDefault="00B666DF">
      <w:pPr>
        <w:pStyle w:val="Heading5"/>
        <w:numPr>
          <w:ilvl w:val="4"/>
          <w:numId w:val="14"/>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rsidR="00795F47" w:rsidRDefault="00B666DF">
      <w:pPr>
        <w:pStyle w:val="Heading5"/>
        <w:numPr>
          <w:ilvl w:val="4"/>
          <w:numId w:val="14"/>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795F47" w:rsidRDefault="00B666DF">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795F47" w:rsidRDefault="00B666DF">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795F47" w:rsidRDefault="00B666DF">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795F47" w:rsidRDefault="00795F47">
      <w:pPr>
        <w:pBdr>
          <w:top w:val="nil"/>
          <w:left w:val="nil"/>
          <w:bottom w:val="nil"/>
          <w:right w:val="nil"/>
          <w:between w:val="nil"/>
        </w:pBdr>
        <w:spacing w:before="120" w:after="120"/>
        <w:ind w:left="2214" w:hanging="1080"/>
        <w:rPr>
          <w:rFonts w:ascii="Arial" w:eastAsia="Arial" w:hAnsi="Arial"/>
          <w:color w:val="000000"/>
          <w:sz w:val="24"/>
          <w:szCs w:val="24"/>
        </w:rPr>
      </w:pPr>
    </w:p>
    <w:p w:rsidR="00795F47" w:rsidRDefault="00B666DF">
      <w:pPr>
        <w:keepNext/>
        <w:numPr>
          <w:ilvl w:val="1"/>
          <w:numId w:val="9"/>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795F4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6751" w:rsidRDefault="008E6751">
      <w:pPr>
        <w:spacing w:after="0"/>
      </w:pPr>
      <w:r>
        <w:separator/>
      </w:r>
    </w:p>
  </w:endnote>
  <w:endnote w:type="continuationSeparator" w:id="0">
    <w:p w:rsidR="008E6751" w:rsidRDefault="008E67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GothicM">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F47" w:rsidRDefault="00795F47">
    <w:pPr>
      <w:tabs>
        <w:tab w:val="center" w:pos="4513"/>
        <w:tab w:val="right" w:pos="9026"/>
      </w:tabs>
      <w:spacing w:after="0"/>
      <w:rPr>
        <w:rFonts w:ascii="Arial" w:eastAsia="Arial" w:hAnsi="Arial"/>
        <w:color w:val="A6A6A6"/>
        <w:sz w:val="20"/>
        <w:szCs w:val="20"/>
      </w:rPr>
    </w:pPr>
  </w:p>
  <w:p w:rsidR="00795F47" w:rsidRDefault="00B666DF">
    <w:pPr>
      <w:tabs>
        <w:tab w:val="center" w:pos="4513"/>
        <w:tab w:val="right" w:pos="9026"/>
      </w:tabs>
      <w:spacing w:after="0"/>
      <w:rPr>
        <w:rFonts w:ascii="Arial" w:eastAsia="Arial" w:hAnsi="Arial"/>
        <w:sz w:val="20"/>
        <w:szCs w:val="20"/>
      </w:rPr>
    </w:pPr>
    <w:r>
      <w:rPr>
        <w:rFonts w:ascii="Arial" w:eastAsia="Arial" w:hAnsi="Arial"/>
        <w:sz w:val="20"/>
        <w:szCs w:val="20"/>
      </w:rPr>
      <w:t>Framework Ref: RM6342</w:t>
    </w:r>
  </w:p>
  <w:p w:rsidR="00795F47" w:rsidRDefault="00B666D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1A7A16">
      <w:rPr>
        <w:rFonts w:ascii="Arial" w:eastAsia="Arial" w:hAnsi="Arial"/>
        <w:noProof/>
        <w:color w:val="000000"/>
        <w:sz w:val="20"/>
        <w:szCs w:val="20"/>
      </w:rPr>
      <w:t>1</w:t>
    </w:r>
    <w:r>
      <w:rPr>
        <w:rFonts w:ascii="Arial" w:eastAsia="Arial" w:hAnsi="Arial"/>
        <w:color w:val="000000"/>
        <w:sz w:val="20"/>
        <w:szCs w:val="20"/>
      </w:rPr>
      <w:fldChar w:fldCharType="end"/>
    </w:r>
  </w:p>
  <w:p w:rsidR="00795F47" w:rsidRDefault="00B666DF">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F47" w:rsidRDefault="00795F47">
    <w:pPr>
      <w:tabs>
        <w:tab w:val="center" w:pos="4513"/>
        <w:tab w:val="right" w:pos="9026"/>
      </w:tabs>
      <w:spacing w:after="0"/>
      <w:rPr>
        <w:rFonts w:ascii="Arial" w:eastAsia="Arial" w:hAnsi="Arial"/>
        <w:color w:val="A6A6A6"/>
        <w:sz w:val="20"/>
        <w:szCs w:val="20"/>
      </w:rPr>
    </w:pPr>
  </w:p>
  <w:p w:rsidR="00795F47" w:rsidRDefault="00B666DF">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rsidR="00795F47" w:rsidRDefault="00B666DF">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795F47" w:rsidRDefault="00B666DF">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6751" w:rsidRDefault="008E6751">
      <w:pPr>
        <w:spacing w:after="0"/>
      </w:pPr>
      <w:r>
        <w:separator/>
      </w:r>
    </w:p>
  </w:footnote>
  <w:footnote w:type="continuationSeparator" w:id="0">
    <w:p w:rsidR="008E6751" w:rsidRDefault="008E6751">
      <w:pPr>
        <w:spacing w:after="0"/>
      </w:pPr>
      <w:r>
        <w:continuationSeparator/>
      </w:r>
    </w:p>
  </w:footnote>
  <w:footnote w:id="1">
    <w:p w:rsidR="00795F47" w:rsidRDefault="00B666D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r>
        <w:rPr>
          <w:color w:val="000000"/>
          <w:sz w:val="20"/>
          <w:szCs w:val="20"/>
        </w:rPr>
        <w:t xml:space="preserve"> </w:t>
      </w:r>
    </w:p>
  </w:footnote>
  <w:footnote w:id="2">
    <w:p w:rsidR="00795F47" w:rsidRDefault="00B666D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We recommend that you seek specific legal advice on this clause.</w:t>
      </w:r>
    </w:p>
  </w:footnote>
  <w:footnote w:id="3">
    <w:p w:rsidR="00795F47" w:rsidRDefault="00B666D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4">
    <w:p w:rsidR="00795F47" w:rsidRDefault="00B666D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5">
    <w:p w:rsidR="00795F47" w:rsidRDefault="00B666D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6">
    <w:p w:rsidR="00795F47" w:rsidRDefault="00B666D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definition.</w:t>
      </w:r>
    </w:p>
  </w:footnote>
  <w:footnote w:id="7">
    <w:p w:rsidR="00795F47" w:rsidRDefault="00B666D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8">
    <w:p w:rsidR="00795F47" w:rsidRDefault="00B666D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9">
    <w:p w:rsidR="00795F47" w:rsidRDefault="00B666DF">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F47" w:rsidRDefault="00B666DF">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rsidR="00795F47" w:rsidRDefault="00B666DF">
    <w:pPr>
      <w:pBdr>
        <w:top w:val="nil"/>
        <w:left w:val="nil"/>
        <w:bottom w:val="nil"/>
        <w:right w:val="nil"/>
        <w:between w:val="nil"/>
      </w:pBdr>
      <w:tabs>
        <w:tab w:val="center" w:pos="4513"/>
        <w:tab w:val="right" w:pos="9026"/>
      </w:tabs>
      <w:spacing w:after="0"/>
      <w:rPr>
        <w:color w:val="000000"/>
      </w:rPr>
    </w:pPr>
    <w:r>
      <w:rPr>
        <w:rFonts w:ascii="Arial" w:eastAsia="Arial" w:hAnsi="Arial"/>
        <w:color w:val="000000"/>
        <w:sz w:val="20"/>
        <w:szCs w:val="20"/>
      </w:rPr>
      <w:t xml:space="preserve">Call-Off Ref: </w:t>
    </w:r>
  </w:p>
  <w:p w:rsidR="00795F47" w:rsidRDefault="00B666D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23</w:t>
    </w:r>
    <w:r>
      <w:rPr>
        <w:rFonts w:ascii="Arial" w:eastAsia="Arial" w:hAnsi="Arial"/>
        <w:color w:val="000000"/>
        <w:sz w:val="20"/>
        <w:szCs w:val="20"/>
      </w:rPr>
      <w:t xml:space="preserve"> </w:t>
    </w:r>
  </w:p>
  <w:p w:rsidR="00795F47" w:rsidRDefault="00795F47">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F47" w:rsidRDefault="00795F47">
    <w:pPr>
      <w:pBdr>
        <w:top w:val="nil"/>
        <w:left w:val="nil"/>
        <w:bottom w:val="nil"/>
        <w:right w:val="nil"/>
        <w:between w:val="nil"/>
      </w:pBdr>
      <w:tabs>
        <w:tab w:val="center" w:pos="4513"/>
        <w:tab w:val="right" w:pos="9026"/>
      </w:tabs>
      <w:spacing w:after="0"/>
      <w:rPr>
        <w:color w:val="000000"/>
      </w:rPr>
    </w:pPr>
  </w:p>
  <w:p w:rsidR="00795F47" w:rsidRDefault="00795F47">
    <w:pPr>
      <w:pBdr>
        <w:top w:val="nil"/>
        <w:left w:val="nil"/>
        <w:bottom w:val="nil"/>
        <w:right w:val="nil"/>
        <w:between w:val="nil"/>
      </w:pBdr>
      <w:tabs>
        <w:tab w:val="center" w:pos="4513"/>
        <w:tab w:val="right" w:pos="9026"/>
      </w:tabs>
      <w:spacing w:after="0"/>
      <w:rPr>
        <w:color w:val="000000"/>
      </w:rPr>
    </w:pPr>
  </w:p>
  <w:p w:rsidR="00795F47" w:rsidRDefault="00795F47">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60C16"/>
    <w:multiLevelType w:val="multilevel"/>
    <w:tmpl w:val="BC42BC64"/>
    <w:lvl w:ilvl="0">
      <w:start w:val="1"/>
      <w:numFmt w:val="lowerLetter"/>
      <w:pStyle w:val="FFWLevel1"/>
      <w:lvlText w:val="(%1)"/>
      <w:lvlJc w:val="left"/>
      <w:pPr>
        <w:ind w:left="1587" w:hanging="793"/>
      </w:pPr>
    </w:lvl>
    <w:lvl w:ilvl="1">
      <w:start w:val="1"/>
      <w:numFmt w:val="lowerRoman"/>
      <w:pStyle w:val="FFWLevel2"/>
      <w:lvlText w:val="(%2)"/>
      <w:lvlJc w:val="left"/>
      <w:pPr>
        <w:ind w:left="2381" w:hanging="794"/>
      </w:pPr>
    </w:lvl>
    <w:lvl w:ilvl="2">
      <w:start w:val="1"/>
      <w:numFmt w:val="decimal"/>
      <w:lvlText w:val=""/>
      <w:lvlJc w:val="left"/>
      <w:pPr>
        <w:ind w:left="2381" w:hanging="794"/>
      </w:pPr>
    </w:lvl>
    <w:lvl w:ilvl="3">
      <w:start w:val="1"/>
      <w:numFmt w:val="decimal"/>
      <w:pStyle w:val="FFWLevel3"/>
      <w:lvlText w:val=""/>
      <w:lvlJc w:val="left"/>
      <w:pPr>
        <w:ind w:left="2381" w:hanging="794"/>
      </w:pPr>
    </w:lvl>
    <w:lvl w:ilvl="4">
      <w:start w:val="1"/>
      <w:numFmt w:val="decimal"/>
      <w:lvlText w:val=""/>
      <w:lvlJc w:val="left"/>
      <w:pPr>
        <w:ind w:left="2381" w:hanging="794"/>
      </w:pPr>
    </w:lvl>
    <w:lvl w:ilvl="5">
      <w:start w:val="1"/>
      <w:numFmt w:val="decimal"/>
      <w:pStyle w:val="FFWLevel6"/>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 w15:restartNumberingAfterBreak="0">
    <w:nsid w:val="0F8934BF"/>
    <w:multiLevelType w:val="multilevel"/>
    <w:tmpl w:val="8D800E5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0FE4588B"/>
    <w:multiLevelType w:val="multilevel"/>
    <w:tmpl w:val="250A446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1070431C"/>
    <w:multiLevelType w:val="multilevel"/>
    <w:tmpl w:val="98B4C898"/>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4" w15:restartNumberingAfterBreak="0">
    <w:nsid w:val="156163D2"/>
    <w:multiLevelType w:val="multilevel"/>
    <w:tmpl w:val="6B5E542A"/>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20354FAF"/>
    <w:multiLevelType w:val="multilevel"/>
    <w:tmpl w:val="83B0858E"/>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0C15752"/>
    <w:multiLevelType w:val="multilevel"/>
    <w:tmpl w:val="5B5070AC"/>
    <w:lvl w:ilvl="0">
      <w:start w:val="1"/>
      <w:numFmt w:val="lowerLetter"/>
      <w:lvlText w:val="(%1)"/>
      <w:lvlJc w:val="left"/>
      <w:pPr>
        <w:ind w:left="1587" w:hanging="793"/>
      </w:pPr>
    </w:lvl>
    <w:lvl w:ilvl="1">
      <w:start w:val="1"/>
      <w:numFmt w:val="lowerRoman"/>
      <w:pStyle w:val="Heading7"/>
      <w:lvlText w:val="(%2)"/>
      <w:lvlJc w:val="left"/>
      <w:pPr>
        <w:ind w:left="2381" w:hanging="794"/>
      </w:pPr>
    </w:lvl>
    <w:lvl w:ilvl="2">
      <w:start w:val="1"/>
      <w:numFmt w:val="decimal"/>
      <w:pStyle w:val="Heading8"/>
      <w:lvlText w:val=""/>
      <w:lvlJc w:val="left"/>
      <w:pPr>
        <w:ind w:left="2381" w:hanging="794"/>
      </w:pPr>
    </w:lvl>
    <w:lvl w:ilvl="3">
      <w:start w:val="1"/>
      <w:numFmt w:val="decimal"/>
      <w:pStyle w:val="Heading9"/>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7" w15:restartNumberingAfterBreak="0">
    <w:nsid w:val="20EA7371"/>
    <w:multiLevelType w:val="multilevel"/>
    <w:tmpl w:val="121ACAD0"/>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215B56F3"/>
    <w:multiLevelType w:val="multilevel"/>
    <w:tmpl w:val="F81877FE"/>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9" w15:restartNumberingAfterBreak="0">
    <w:nsid w:val="26194DCB"/>
    <w:multiLevelType w:val="multilevel"/>
    <w:tmpl w:val="4802CA82"/>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304E6C54"/>
    <w:multiLevelType w:val="multilevel"/>
    <w:tmpl w:val="23EED92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30F71F6A"/>
    <w:multiLevelType w:val="multilevel"/>
    <w:tmpl w:val="BAB2D6E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pStyle w:val="DefinitionNumbering8"/>
      <w:lvlText w:val="%8."/>
      <w:lvlJc w:val="left"/>
      <w:pPr>
        <w:ind w:left="2880" w:hanging="360"/>
      </w:pPr>
    </w:lvl>
    <w:lvl w:ilvl="8">
      <w:start w:val="1"/>
      <w:numFmt w:val="lowerRoman"/>
      <w:pStyle w:val="DefinitionNumbering9"/>
      <w:lvlText w:val="%9."/>
      <w:lvlJc w:val="left"/>
      <w:pPr>
        <w:ind w:left="3240" w:hanging="360"/>
      </w:pPr>
    </w:lvl>
  </w:abstractNum>
  <w:abstractNum w:abstractNumId="12" w15:restartNumberingAfterBreak="0">
    <w:nsid w:val="438C13A3"/>
    <w:multiLevelType w:val="multilevel"/>
    <w:tmpl w:val="FC226E76"/>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pStyle w:val="Sch1styleclause"/>
      <w:lvlText w:val="%2.%3"/>
      <w:lvlJc w:val="left"/>
      <w:pPr>
        <w:ind w:left="709" w:hanging="709"/>
      </w:pPr>
      <w:rPr>
        <w:rFonts w:ascii="Calibri" w:eastAsia="Calibri" w:hAnsi="Calibri" w:cs="Calibri"/>
        <w:b w:val="0"/>
        <w:i w:val="0"/>
      </w:rPr>
    </w:lvl>
    <w:lvl w:ilvl="3">
      <w:start w:val="1"/>
      <w:numFmt w:val="lowerLetter"/>
      <w:pStyle w:val="Sch1stylesubclause"/>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3" w15:restartNumberingAfterBreak="0">
    <w:nsid w:val="4DAC792B"/>
    <w:multiLevelType w:val="multilevel"/>
    <w:tmpl w:val="6532C78E"/>
    <w:lvl w:ilvl="0">
      <w:start w:val="1"/>
      <w:numFmt w:val="decimal"/>
      <w:pStyle w:val="GPsDefinition"/>
      <w:lvlText w:val=""/>
      <w:lvlJc w:val="center"/>
      <w:pPr>
        <w:ind w:left="0" w:hanging="57"/>
      </w:pPr>
    </w:lvl>
    <w:lvl w:ilvl="1">
      <w:start w:val="1"/>
      <w:numFmt w:val="decimal"/>
      <w:pStyle w:val="GPSDefinitionL2"/>
      <w:lvlText w:val="%1%2"/>
      <w:lvlJc w:val="left"/>
      <w:pPr>
        <w:ind w:left="709" w:hanging="709"/>
      </w:pPr>
      <w:rPr>
        <w:b/>
      </w:rPr>
    </w:lvl>
    <w:lvl w:ilvl="2">
      <w:start w:val="1"/>
      <w:numFmt w:val="decimal"/>
      <w:pStyle w:val="GPSDefinitionL3"/>
      <w:lvlText w:val="%2.%3"/>
      <w:lvlJc w:val="left"/>
      <w:pPr>
        <w:ind w:left="709" w:hanging="709"/>
      </w:pPr>
      <w:rPr>
        <w:rFonts w:ascii="Calibri" w:eastAsia="Calibri" w:hAnsi="Calibri" w:cs="Calibri"/>
        <w:b w:val="0"/>
        <w:i w:val="0"/>
      </w:rPr>
    </w:lvl>
    <w:lvl w:ilvl="3">
      <w:start w:val="1"/>
      <w:numFmt w:val="lowerLetter"/>
      <w:pStyle w:val="GPSDefinitionL4"/>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4" w15:restartNumberingAfterBreak="0">
    <w:nsid w:val="54A3336A"/>
    <w:multiLevelType w:val="multilevel"/>
    <w:tmpl w:val="2B222AA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6A2968A9"/>
    <w:multiLevelType w:val="multilevel"/>
    <w:tmpl w:val="E2242912"/>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6DFA672C"/>
    <w:multiLevelType w:val="multilevel"/>
    <w:tmpl w:val="9760C048"/>
    <w:lvl w:ilvl="0">
      <w:start w:val="1"/>
      <w:numFmt w:val="lowerLetter"/>
      <w:pStyle w:val="StyleHeading5ServiceConformance4HeadingHeading5unusedLev"/>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7" w15:restartNumberingAfterBreak="0">
    <w:nsid w:val="711A41B6"/>
    <w:multiLevelType w:val="multilevel"/>
    <w:tmpl w:val="44C0E7DA"/>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15:restartNumberingAfterBreak="0">
    <w:nsid w:val="7EE8545F"/>
    <w:multiLevelType w:val="multilevel"/>
    <w:tmpl w:val="F2624A06"/>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6"/>
  </w:num>
  <w:num w:numId="2">
    <w:abstractNumId w:val="16"/>
  </w:num>
  <w:num w:numId="3">
    <w:abstractNumId w:val="7"/>
  </w:num>
  <w:num w:numId="4">
    <w:abstractNumId w:val="4"/>
  </w:num>
  <w:num w:numId="5">
    <w:abstractNumId w:val="9"/>
  </w:num>
  <w:num w:numId="6">
    <w:abstractNumId w:val="11"/>
  </w:num>
  <w:num w:numId="7">
    <w:abstractNumId w:val="12"/>
  </w:num>
  <w:num w:numId="8">
    <w:abstractNumId w:val="0"/>
  </w:num>
  <w:num w:numId="9">
    <w:abstractNumId w:val="15"/>
  </w:num>
  <w:num w:numId="10">
    <w:abstractNumId w:val="17"/>
  </w:num>
  <w:num w:numId="11">
    <w:abstractNumId w:val="3"/>
  </w:num>
  <w:num w:numId="12">
    <w:abstractNumId w:val="18"/>
  </w:num>
  <w:num w:numId="13">
    <w:abstractNumId w:val="2"/>
  </w:num>
  <w:num w:numId="14">
    <w:abstractNumId w:val="13"/>
  </w:num>
  <w:num w:numId="15">
    <w:abstractNumId w:val="5"/>
  </w:num>
  <w:num w:numId="16">
    <w:abstractNumId w:val="8"/>
  </w:num>
  <w:num w:numId="17">
    <w:abstractNumId w:val="14"/>
  </w:num>
  <w:num w:numId="18">
    <w:abstractNumId w:val="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F47"/>
    <w:rsid w:val="00030B2A"/>
    <w:rsid w:val="001A7A16"/>
    <w:rsid w:val="005C32AD"/>
    <w:rsid w:val="00795F47"/>
    <w:rsid w:val="008E6751"/>
    <w:rsid w:val="00B666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EC73C"/>
  <w15:docId w15:val="{DB963968-2E1A-4894-A976-9D8EF9EFE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dtQIoPN8T/6oROdnoj/P9DCOTg==">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19104</Words>
  <Characters>108893</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 Tempera</dc:creator>
  <cp:lastModifiedBy>Gavin Scott</cp:lastModifiedBy>
  <cp:revision>4</cp:revision>
  <dcterms:created xsi:type="dcterms:W3CDTF">2024-06-07T11:27:00Z</dcterms:created>
  <dcterms:modified xsi:type="dcterms:W3CDTF">2024-06-07T14:51:00Z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